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36D" w:rsidRDefault="003C297E" w:rsidP="002D1A68">
      <w:pPr>
        <w:pStyle w:val="Heading1"/>
        <w:numPr>
          <w:ilvl w:val="0"/>
          <w:numId w:val="4"/>
        </w:numPr>
        <w:jc w:val="left"/>
      </w:pPr>
      <w:r>
        <w:rPr>
          <w:sz w:val="28"/>
          <w:szCs w:val="28"/>
        </w:rPr>
        <w:t xml:space="preserve">Use Case </w:t>
      </w:r>
      <w:r w:rsidR="002D1A68">
        <w:rPr>
          <w:sz w:val="28"/>
          <w:szCs w:val="28"/>
        </w:rPr>
        <w:t>1</w:t>
      </w:r>
      <w:r>
        <w:rPr>
          <w:sz w:val="28"/>
          <w:szCs w:val="28"/>
        </w:rPr>
        <w:t xml:space="preserve">: Analyzing the </w:t>
      </w:r>
      <w:r w:rsidR="00C22FA4">
        <w:rPr>
          <w:sz w:val="28"/>
          <w:szCs w:val="28"/>
        </w:rPr>
        <w:t xml:space="preserve">toxic effects </w:t>
      </w:r>
      <w:r>
        <w:rPr>
          <w:sz w:val="28"/>
          <w:szCs w:val="28"/>
        </w:rPr>
        <w:t>of particular drugs</w:t>
      </w:r>
    </w:p>
    <w:p w:rsidR="00981CC1" w:rsidRDefault="00981CC1">
      <w:pPr>
        <w:pStyle w:val="Textbody"/>
      </w:pPr>
    </w:p>
    <w:p w:rsidR="0085636D" w:rsidRDefault="003C297E">
      <w:pPr>
        <w:pStyle w:val="Textbody"/>
      </w:pPr>
      <w:r>
        <w:t xml:space="preserve">In the following, we will investigate the effects of five different drugs. Three of those with known hepatotoxicity: acetaminophen, azathioprine and rifampin; and two with known cardiotoxicity: cyclophosphamide and doxorubicin. The starting point for an investigation of drugs in the </w:t>
      </w:r>
      <w:proofErr w:type="spellStart"/>
      <w:r>
        <w:t>ToxDB</w:t>
      </w:r>
      <w:proofErr w:type="spellEnd"/>
      <w:r>
        <w:t xml:space="preserve"> is either the search functionality on the main page or the table of available drugs under the menu item “Browse Drugs”.</w:t>
      </w:r>
    </w:p>
    <w:p w:rsidR="00981CC1" w:rsidRDefault="00981CC1">
      <w:pPr>
        <w:pStyle w:val="Textbody"/>
      </w:pPr>
    </w:p>
    <w:p w:rsidR="0085636D" w:rsidRDefault="003C297E">
      <w:pPr>
        <w:pStyle w:val="Heading2"/>
        <w:numPr>
          <w:ilvl w:val="1"/>
          <w:numId w:val="4"/>
        </w:numPr>
      </w:pPr>
      <w:r>
        <w:t>Acetaminophen</w:t>
      </w:r>
    </w:p>
    <w:p w:rsidR="0085636D" w:rsidRDefault="003C297E">
      <w:pPr>
        <w:pStyle w:val="Heading3"/>
        <w:numPr>
          <w:ilvl w:val="2"/>
          <w:numId w:val="4"/>
        </w:numPr>
      </w:pPr>
      <w:proofErr w:type="spellStart"/>
      <w:r>
        <w:t>ToxDB</w:t>
      </w:r>
      <w:proofErr w:type="spellEnd"/>
    </w:p>
    <w:p w:rsidR="0085636D" w:rsidRDefault="003C297E">
      <w:pPr>
        <w:pStyle w:val="Textbody"/>
      </w:pPr>
      <w:r>
        <w:t>The first piece of information on any drug is a table with useful cross-references to other databases. Additionally, we included toxicity ratings from two studies (Chen et al., 2011; Greene et al., 2010)</w:t>
      </w:r>
      <w:r w:rsidR="00DC2C22">
        <w:t>.</w:t>
      </w:r>
      <w:r>
        <w:t xml:space="preserve"> </w:t>
      </w:r>
      <w:r w:rsidR="00DC2C22">
        <w:t>Th</w:t>
      </w:r>
      <w:r w:rsidR="00E66A2F">
        <w:t>at</w:t>
      </w:r>
      <w:r>
        <w:t xml:space="preserve"> information is shown where available. Acetaminophen is classified as “human hepatotoxic” (HH) according to Greene et al. (2010)).</w:t>
      </w:r>
    </w:p>
    <w:p w:rsidR="0085636D" w:rsidRDefault="003C297E">
      <w:pPr>
        <w:pStyle w:val="Textbody"/>
      </w:pPr>
      <w:r>
        <w:t xml:space="preserve">Next to that the desired treatment parameters can be chosen from multiple options. The study, cell type, dosage and measurement time points offer particular possible combinations and can be selected in addition to the pathway source database. Currently, </w:t>
      </w:r>
      <w:proofErr w:type="spellStart"/>
      <w:r>
        <w:t>ToxDB</w:t>
      </w:r>
      <w:proofErr w:type="spellEnd"/>
      <w:r>
        <w:t xml:space="preserve"> includes microarray data from the Open TG-GATEs</w:t>
      </w:r>
      <w:r>
        <w:rPr>
          <w:rStyle w:val="Footnoteanchor"/>
        </w:rPr>
        <w:footnoteReference w:id="1"/>
      </w:r>
      <w:r>
        <w:t xml:space="preserve"> and </w:t>
      </w:r>
      <w:proofErr w:type="spellStart"/>
      <w:r>
        <w:t>DrugMatrix</w:t>
      </w:r>
      <w:proofErr w:type="spellEnd"/>
      <w:r>
        <w:rPr>
          <w:rStyle w:val="Footnoteanchor"/>
        </w:rPr>
        <w:footnoteReference w:id="2"/>
      </w:r>
      <w:r>
        <w:t xml:space="preserve"> studies.</w:t>
      </w:r>
    </w:p>
    <w:p w:rsidR="0085636D" w:rsidRDefault="003C297E">
      <w:pPr>
        <w:pStyle w:val="Textbody"/>
      </w:pPr>
      <w:r>
        <w:t>Depending on the treatment and source selection, the bar chart shows the twenty pathways with the highest response scores</w:t>
      </w:r>
      <w:r w:rsidR="00C22FA4">
        <w:t xml:space="preserve"> according to the specified treatment duration and dose</w:t>
      </w:r>
      <w:r>
        <w:t>. The complete set of response scores for a particular treatment can be downloaded in a number of different formats. This is useful for a systematic analysis of the pathway responses.</w:t>
      </w:r>
    </w:p>
    <w:p w:rsidR="0085636D" w:rsidRDefault="003C297E">
      <w:pPr>
        <w:pStyle w:val="Textbody"/>
      </w:pPr>
      <w:r>
        <w:t>Via a pathway’s tooltip in the bar chart</w:t>
      </w:r>
      <w:r w:rsidR="00C22FA4">
        <w:t xml:space="preserve"> (“View differential expression”)</w:t>
      </w:r>
      <w:r>
        <w:t>, the pathway’s actual gene expression changes can be accessed. Alternatively, the response of that pathway to all treatments in the database can be seen.</w:t>
      </w:r>
    </w:p>
    <w:p w:rsidR="0085636D" w:rsidRDefault="003C297E">
      <w:pPr>
        <w:pStyle w:val="Heading3"/>
        <w:numPr>
          <w:ilvl w:val="2"/>
          <w:numId w:val="4"/>
        </w:numPr>
      </w:pPr>
      <w:r>
        <w:t>Mechanism of Action</w:t>
      </w:r>
    </w:p>
    <w:p w:rsidR="0085636D" w:rsidRDefault="003C297E">
      <w:pPr>
        <w:pStyle w:val="Textbody"/>
      </w:pPr>
      <w:r>
        <w:t>In order to verify the plausibility of the data shown, we can refer to the other databases. KEGG</w:t>
      </w:r>
      <w:r>
        <w:rPr>
          <w:rStyle w:val="Footnoteanchor"/>
        </w:rPr>
        <w:footnoteReference w:id="3"/>
      </w:r>
      <w:r>
        <w:t xml:space="preserve">, </w:t>
      </w:r>
      <w:proofErr w:type="spellStart"/>
      <w:r>
        <w:t>DrugBank</w:t>
      </w:r>
      <w:proofErr w:type="spellEnd"/>
      <w:r>
        <w:rPr>
          <w:rStyle w:val="Footnoteanchor"/>
        </w:rPr>
        <w:footnoteReference w:id="4"/>
      </w:r>
      <w:r>
        <w:t xml:space="preserve"> and </w:t>
      </w:r>
      <w:proofErr w:type="spellStart"/>
      <w:r>
        <w:t>ChEMBL</w:t>
      </w:r>
      <w:proofErr w:type="spellEnd"/>
      <w:r>
        <w:rPr>
          <w:rStyle w:val="Footnoteanchor"/>
        </w:rPr>
        <w:footnoteReference w:id="5"/>
      </w:r>
      <w:r>
        <w:t xml:space="preserve"> should all contain relevant information. For KEGG the </w:t>
      </w:r>
      <w:r>
        <w:lastRenderedPageBreak/>
        <w:t xml:space="preserve">“Activity”, “Structure map” and “Brite” fields are most important; for </w:t>
      </w:r>
      <w:proofErr w:type="spellStart"/>
      <w:r>
        <w:t>Drugbank</w:t>
      </w:r>
      <w:proofErr w:type="spellEnd"/>
      <w:r>
        <w:t xml:space="preserve"> the “Pharmacology”, “ADMET” and “References” and for </w:t>
      </w:r>
      <w:proofErr w:type="spellStart"/>
      <w:r>
        <w:t>ChEMBL</w:t>
      </w:r>
      <w:proofErr w:type="spellEnd"/>
      <w:r>
        <w:t xml:space="preserve"> the “Mechanism of Action” and “Compound Target Summary”.</w:t>
      </w:r>
    </w:p>
    <w:p w:rsidR="0085636D" w:rsidRDefault="003C297E">
      <w:pPr>
        <w:pStyle w:val="Textbody"/>
        <w:numPr>
          <w:ilvl w:val="0"/>
          <w:numId w:val="5"/>
        </w:numPr>
      </w:pPr>
      <w:r>
        <w:t>KEGG lists the acetaminophen activity as analgesic and antipyretic. It also appears in the “</w:t>
      </w:r>
      <w:proofErr w:type="spellStart"/>
      <w:r>
        <w:t>antimigraines</w:t>
      </w:r>
      <w:proofErr w:type="spellEnd"/>
      <w:r>
        <w:t>” and “cyclooxygenase inhibitors” structure maps.</w:t>
      </w:r>
    </w:p>
    <w:p w:rsidR="0085636D" w:rsidRDefault="003C297E">
      <w:pPr>
        <w:pStyle w:val="Textbody"/>
        <w:numPr>
          <w:ilvl w:val="0"/>
          <w:numId w:val="5"/>
        </w:numPr>
      </w:pPr>
      <w:r>
        <w:t xml:space="preserve">As reported by </w:t>
      </w:r>
      <w:proofErr w:type="spellStart"/>
      <w:r>
        <w:t>DrugBank</w:t>
      </w:r>
      <w:proofErr w:type="spellEnd"/>
      <w:r>
        <w:t xml:space="preserve">, acetaminophen’s targets are prostaglandin G/H synthase 1–3. It is metabolized by the following enzymes: numerous cytochrome P450 proteins, UDP-glucuronosyltransferases, multiple sulfotransferases. Acetaminophen inhibits </w:t>
      </w:r>
      <w:proofErr w:type="spellStart"/>
      <w:r>
        <w:t>arylamine</w:t>
      </w:r>
      <w:proofErr w:type="spellEnd"/>
      <w:r>
        <w:t xml:space="preserve"> N-acetyltransferase 2 and both inhibits and induces cytochrome P450 3A4. Additionally, it inhibits the multidrug resistance protein 1 and solute carrier family 22 member 6 transporters.</w:t>
      </w:r>
    </w:p>
    <w:p w:rsidR="0085636D" w:rsidRDefault="003C297E">
      <w:pPr>
        <w:pStyle w:val="Textbody"/>
        <w:numPr>
          <w:ilvl w:val="0"/>
          <w:numId w:val="5"/>
        </w:numPr>
      </w:pPr>
      <w:r>
        <w:t xml:space="preserve">According to </w:t>
      </w:r>
      <w:proofErr w:type="spellStart"/>
      <w:r>
        <w:t>ChEMBL</w:t>
      </w:r>
      <w:proofErr w:type="spellEnd"/>
      <w:r>
        <w:t xml:space="preserve"> there is evidence for three types of functions of acetaminophen: (1) anandamide </w:t>
      </w:r>
      <w:proofErr w:type="spellStart"/>
      <w:r>
        <w:t>amidohydrolase</w:t>
      </w:r>
      <w:proofErr w:type="spellEnd"/>
      <w:r>
        <w:t xml:space="preserve"> inhibitor (</w:t>
      </w:r>
      <w:proofErr w:type="spellStart"/>
      <w:r>
        <w:t>Högestätt</w:t>
      </w:r>
      <w:proofErr w:type="spellEnd"/>
      <w:r>
        <w:t xml:space="preserve"> et al., 2005), (2) cyclooxygenase inhibitor (Graham and Scott, 2005; </w:t>
      </w:r>
      <w:proofErr w:type="spellStart"/>
      <w:r>
        <w:t>Hinz</w:t>
      </w:r>
      <w:proofErr w:type="spellEnd"/>
      <w:r>
        <w:t xml:space="preserve"> et al., 2008; </w:t>
      </w:r>
      <w:proofErr w:type="spellStart"/>
      <w:r>
        <w:t>Högestätt</w:t>
      </w:r>
      <w:proofErr w:type="spellEnd"/>
      <w:r>
        <w:t xml:space="preserve"> et al., 2005; Mallet et al., 2010; Schwab et al., 2003) and (3) </w:t>
      </w:r>
      <w:proofErr w:type="spellStart"/>
      <w:r>
        <w:t>vanilloid</w:t>
      </w:r>
      <w:proofErr w:type="spellEnd"/>
      <w:r>
        <w:t xml:space="preserve"> receptor opener (</w:t>
      </w:r>
      <w:proofErr w:type="spellStart"/>
      <w:r>
        <w:t>Högestätt</w:t>
      </w:r>
      <w:proofErr w:type="spellEnd"/>
      <w:r>
        <w:t xml:space="preserve"> et al., 2005; Mallet et al., 2010).</w:t>
      </w:r>
    </w:p>
    <w:p w:rsidR="00265432" w:rsidRDefault="00265432">
      <w:pPr>
        <w:pStyle w:val="Heading3"/>
        <w:numPr>
          <w:ilvl w:val="2"/>
          <w:numId w:val="3"/>
        </w:numPr>
      </w:pPr>
    </w:p>
    <w:p w:rsidR="0085636D" w:rsidRDefault="003C297E">
      <w:pPr>
        <w:pStyle w:val="Heading3"/>
        <w:numPr>
          <w:ilvl w:val="2"/>
          <w:numId w:val="3"/>
        </w:numPr>
      </w:pPr>
      <w:r>
        <w:t>Results</w:t>
      </w:r>
    </w:p>
    <w:p w:rsidR="0085636D" w:rsidRDefault="003C297E">
      <w:pPr>
        <w:pStyle w:val="Textbody"/>
      </w:pPr>
      <w:r>
        <w:t xml:space="preserve">Using the </w:t>
      </w:r>
      <w:proofErr w:type="spellStart"/>
      <w:r>
        <w:t>ChEMBL</w:t>
      </w:r>
      <w:proofErr w:type="spellEnd"/>
      <w:r>
        <w:t xml:space="preserve"> mechanism of action as a starting point, we investigate the involvement of the target genes with pathways defined within CPDB and </w:t>
      </w:r>
      <w:proofErr w:type="spellStart"/>
      <w:r>
        <w:t>ToxDB</w:t>
      </w:r>
      <w:proofErr w:type="spellEnd"/>
      <w:r>
        <w:t>. Genes can be searched by their name and various identifiers (</w:t>
      </w:r>
      <w:proofErr w:type="spellStart"/>
      <w:r>
        <w:t>Ensembl</w:t>
      </w:r>
      <w:proofErr w:type="spellEnd"/>
      <w:r>
        <w:t xml:space="preserve">, HGNC Symbol, </w:t>
      </w:r>
      <w:proofErr w:type="spellStart"/>
      <w:r>
        <w:t>Entrez</w:t>
      </w:r>
      <w:proofErr w:type="spellEnd"/>
      <w:r>
        <w:t xml:space="preserve">) from the </w:t>
      </w:r>
      <w:proofErr w:type="spellStart"/>
      <w:r>
        <w:t>ToxDB</w:t>
      </w:r>
      <w:proofErr w:type="spellEnd"/>
      <w:r>
        <w:t xml:space="preserve"> front page. (1) The gene coding for Fatty-acid amide hydrolase 1 is FAAH. Searching for this gene reveals involvement in two pathways: metabolism of anandamide an endogenous cannabinoid and retrograde endocannabinoid signaling. The pathway view of metabolism of anandamide, filtered by </w:t>
      </w:r>
      <w:r w:rsidR="00A15420">
        <w:t>acetaminophen</w:t>
      </w:r>
      <w:r>
        <w:t xml:space="preserve"> shows that human hepatocytes have a pathway response at a dosage of 200 </w:t>
      </w:r>
      <w:proofErr w:type="spellStart"/>
      <w:r>
        <w:t>μM</w:t>
      </w:r>
      <w:proofErr w:type="spellEnd"/>
      <w:r>
        <w:t xml:space="preserve"> after 8 h that is above the 95% quantile. Retrograde endocannabinoid signaling shows no significant response to </w:t>
      </w:r>
      <w:r w:rsidR="00A15420">
        <w:t>acetaminophen</w:t>
      </w:r>
      <w:r>
        <w:t>. (2) The target cyclooxygenase is composed of the proteins prostaglandin G/H synthase 1 and 2 with corresponding genes PTGS1 and PTGS2. They appear in various signaling and metabolic pathways.</w:t>
      </w:r>
    </w:p>
    <w:p w:rsidR="00265432" w:rsidRDefault="00265432">
      <w:pPr>
        <w:pStyle w:val="Figure"/>
      </w:pPr>
    </w:p>
    <w:p w:rsidR="00981CC1" w:rsidRDefault="00F61D78">
      <w:pPr>
        <w:pStyle w:val="Figure"/>
      </w:pPr>
      <w:r>
        <w:rPr>
          <w:noProof/>
          <w:lang w:eastAsia="en-US" w:bidi="ar-SA"/>
        </w:rPr>
        <w:lastRenderedPageBreak/>
        <w:drawing>
          <wp:inline distT="0" distB="0" distL="0" distR="0" wp14:anchorId="7E7DE898" wp14:editId="3F510DC6">
            <wp:extent cx="5731510" cy="27863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p>
    <w:p w:rsidR="0085636D" w:rsidRDefault="003C297E">
      <w:pPr>
        <w:pStyle w:val="Figure"/>
      </w:pPr>
      <w:r>
        <w:t xml:space="preserve">Figure </w:t>
      </w:r>
      <w:r w:rsidR="008E3BB5">
        <w:t>1</w:t>
      </w:r>
      <w:r w:rsidR="009D5C95">
        <w:t>.1</w:t>
      </w:r>
      <w:r>
        <w:t xml:space="preserve">: “Drug View” of acetaminophen for data from the Open TG-GATEs and </w:t>
      </w:r>
      <w:proofErr w:type="spellStart"/>
      <w:r>
        <w:t>DrugMatrix</w:t>
      </w:r>
      <w:proofErr w:type="spellEnd"/>
      <w:r>
        <w:t xml:space="preserve"> data sets. (top) A table with cross-references and toxicity information. Next to that</w:t>
      </w:r>
      <w:r w:rsidR="00E66A2F">
        <w:t xml:space="preserve"> is</w:t>
      </w:r>
      <w:r>
        <w:t xml:space="preserve"> the treatment parameter selection. Active choices </w:t>
      </w:r>
      <w:r w:rsidR="00A32AE4">
        <w:t xml:space="preserve">(liver cell types) </w:t>
      </w:r>
      <w:r>
        <w:t xml:space="preserve">are shown in white. (bottom) </w:t>
      </w:r>
      <w:r w:rsidR="00E66A2F">
        <w:t>A b</w:t>
      </w:r>
      <w:r>
        <w:t>ar chart of the most responsive pathways across the chosen treatment parameters.</w:t>
      </w:r>
    </w:p>
    <w:p w:rsidR="009D5C95" w:rsidRDefault="009D5C95">
      <w:pPr>
        <w:pStyle w:val="Heading3"/>
        <w:numPr>
          <w:ilvl w:val="2"/>
          <w:numId w:val="3"/>
        </w:numPr>
      </w:pPr>
    </w:p>
    <w:p w:rsidR="0085636D" w:rsidRDefault="003C297E">
      <w:pPr>
        <w:pStyle w:val="Heading3"/>
        <w:numPr>
          <w:ilvl w:val="2"/>
          <w:numId w:val="3"/>
        </w:numPr>
      </w:pPr>
      <w:r>
        <w:t>Conclusion</w:t>
      </w:r>
    </w:p>
    <w:p w:rsidR="0085636D" w:rsidRDefault="003C297E">
      <w:pPr>
        <w:pStyle w:val="Textbody"/>
      </w:pPr>
      <w:r>
        <w:t xml:space="preserve">The metabolic involvement of acetaminophen with several CYPs of the cytochrome P450 family is well reflected in </w:t>
      </w:r>
      <w:proofErr w:type="spellStart"/>
      <w:r>
        <w:t>ToxDB</w:t>
      </w:r>
      <w:proofErr w:type="spellEnd"/>
      <w:r>
        <w:t>. Several related biosynthesis pathways have response scores above the 95% quantile across all treatments. The actual expression within those pathways reveals that most of them are down regulated. The response of other pathways, in particular the ones in the top 20, are less clear at the moment but include many synthesis pathways.</w:t>
      </w:r>
    </w:p>
    <w:p w:rsidR="009D5C95" w:rsidRDefault="009D5C95">
      <w:pPr>
        <w:pStyle w:val="Heading2"/>
        <w:numPr>
          <w:ilvl w:val="1"/>
          <w:numId w:val="3"/>
        </w:numPr>
      </w:pPr>
    </w:p>
    <w:p w:rsidR="0085636D" w:rsidRPr="00981CC1" w:rsidRDefault="003C297E" w:rsidP="00981CC1">
      <w:pPr>
        <w:widowControl/>
        <w:tabs>
          <w:tab w:val="clear" w:pos="709"/>
        </w:tabs>
        <w:suppressAutoHyphens w:val="0"/>
        <w:rPr>
          <w:rFonts w:ascii="Arial" w:hAnsi="Arial" w:cs="Arial"/>
          <w:b/>
          <w:bCs/>
          <w:i/>
          <w:iCs/>
          <w:sz w:val="28"/>
          <w:szCs w:val="28"/>
        </w:rPr>
      </w:pPr>
      <w:r w:rsidRPr="00981CC1">
        <w:rPr>
          <w:rFonts w:ascii="Arial" w:hAnsi="Arial" w:cs="Arial"/>
          <w:b/>
          <w:i/>
          <w:sz w:val="28"/>
          <w:szCs w:val="28"/>
        </w:rPr>
        <w:t>Azathioprine</w:t>
      </w:r>
    </w:p>
    <w:p w:rsidR="0085636D" w:rsidRDefault="003C297E">
      <w:pPr>
        <w:pStyle w:val="Heading3"/>
        <w:numPr>
          <w:ilvl w:val="2"/>
          <w:numId w:val="3"/>
        </w:numPr>
      </w:pPr>
      <w:proofErr w:type="spellStart"/>
      <w:r>
        <w:t>ToxDB</w:t>
      </w:r>
      <w:proofErr w:type="spellEnd"/>
    </w:p>
    <w:p w:rsidR="0085636D" w:rsidRDefault="003C297E">
      <w:pPr>
        <w:pStyle w:val="Textbody"/>
      </w:pPr>
      <w:r>
        <w:t>As stated by Greene et al. (2010), azathioprine is “human hepatotoxic” (HH). It is of “less DILI concern” with a severity level of 3 out of 8 according to Chen et al. (2011).</w:t>
      </w:r>
    </w:p>
    <w:p w:rsidR="0085636D" w:rsidRDefault="003C297E">
      <w:pPr>
        <w:pStyle w:val="Heading3"/>
        <w:numPr>
          <w:ilvl w:val="2"/>
          <w:numId w:val="2"/>
        </w:numPr>
      </w:pPr>
      <w:r>
        <w:t>Mechanism of Action</w:t>
      </w:r>
    </w:p>
    <w:p w:rsidR="0085636D" w:rsidRDefault="003C297E">
      <w:pPr>
        <w:pStyle w:val="Textbody"/>
        <w:numPr>
          <w:ilvl w:val="0"/>
          <w:numId w:val="6"/>
        </w:numPr>
      </w:pPr>
      <w:r>
        <w:t xml:space="preserve">As reported in KEGG, azathioprine is an immunosuppressive agent, </w:t>
      </w:r>
      <w:proofErr w:type="spellStart"/>
      <w:r>
        <w:t>antirheumatic</w:t>
      </w:r>
      <w:proofErr w:type="spellEnd"/>
      <w:r>
        <w:t xml:space="preserve"> and appears in drug metabolism.</w:t>
      </w:r>
    </w:p>
    <w:p w:rsidR="0085636D" w:rsidRDefault="003C297E">
      <w:pPr>
        <w:pStyle w:val="Textbody"/>
        <w:numPr>
          <w:ilvl w:val="0"/>
          <w:numId w:val="6"/>
        </w:numPr>
      </w:pPr>
      <w:proofErr w:type="spellStart"/>
      <w:r>
        <w:t>DrugBank</w:t>
      </w:r>
      <w:proofErr w:type="spellEnd"/>
      <w:r>
        <w:t xml:space="preserve"> states that azathioprine’s target is hypoxanthine-guanine phosphoribosyl-</w:t>
      </w:r>
      <w:proofErr w:type="spellStart"/>
      <w:r>
        <w:lastRenderedPageBreak/>
        <w:t>transferase</w:t>
      </w:r>
      <w:proofErr w:type="spellEnd"/>
      <w:r>
        <w:t xml:space="preserve">. It is metabolized by xanthine dehydrogenase/oxidase, </w:t>
      </w:r>
      <w:proofErr w:type="spellStart"/>
      <w:r>
        <w:t>thiopurine</w:t>
      </w:r>
      <w:proofErr w:type="spellEnd"/>
      <w:r>
        <w:t xml:space="preserve"> S-methyl-</w:t>
      </w:r>
      <w:proofErr w:type="spellStart"/>
      <w:r>
        <w:t>transferase</w:t>
      </w:r>
      <w:proofErr w:type="spellEnd"/>
      <w:r>
        <w:t xml:space="preserve"> and three kinds of glutathione S-</w:t>
      </w:r>
      <w:proofErr w:type="spellStart"/>
      <w:r>
        <w:t>tranferases</w:t>
      </w:r>
      <w:proofErr w:type="spellEnd"/>
      <w:r>
        <w:t>.</w:t>
      </w:r>
    </w:p>
    <w:p w:rsidR="0085636D" w:rsidRDefault="003C297E">
      <w:pPr>
        <w:pStyle w:val="Textbody"/>
        <w:numPr>
          <w:ilvl w:val="0"/>
          <w:numId w:val="6"/>
        </w:numPr>
      </w:pPr>
      <w:r>
        <w:t xml:space="preserve">Azathioprine’s functions according to </w:t>
      </w:r>
      <w:proofErr w:type="spellStart"/>
      <w:r>
        <w:t>ChEMBL</w:t>
      </w:r>
      <w:proofErr w:type="spellEnd"/>
      <w:r>
        <w:t xml:space="preserve"> are: (1) </w:t>
      </w:r>
      <w:proofErr w:type="spellStart"/>
      <w:r>
        <w:t>amidophosphoribosyltransferase</w:t>
      </w:r>
      <w:proofErr w:type="spellEnd"/>
      <w:r>
        <w:t xml:space="preserve"> inhibitor and (2) DNA inhibitor (</w:t>
      </w:r>
      <w:proofErr w:type="spellStart"/>
      <w:r>
        <w:t>Sahasranaman</w:t>
      </w:r>
      <w:proofErr w:type="spellEnd"/>
      <w:r>
        <w:t xml:space="preserve"> et al., 2008).</w:t>
      </w:r>
    </w:p>
    <w:p w:rsidR="00981CC1" w:rsidRDefault="00981CC1" w:rsidP="00981CC1">
      <w:pPr>
        <w:pStyle w:val="Textbody"/>
        <w:tabs>
          <w:tab w:val="clear" w:pos="709"/>
        </w:tabs>
        <w:ind w:left="720"/>
      </w:pPr>
    </w:p>
    <w:p w:rsidR="0085636D" w:rsidRDefault="0085636D">
      <w:pPr>
        <w:pStyle w:val="Textbody"/>
      </w:pPr>
    </w:p>
    <w:p w:rsidR="00265432" w:rsidRDefault="00F61D78">
      <w:pPr>
        <w:pStyle w:val="Figure"/>
      </w:pPr>
      <w:r>
        <w:rPr>
          <w:noProof/>
          <w:lang w:eastAsia="en-US" w:bidi="ar-SA"/>
        </w:rPr>
        <w:drawing>
          <wp:inline distT="0" distB="0" distL="0" distR="0" wp14:anchorId="238A36D4" wp14:editId="08662AF3">
            <wp:extent cx="5731510" cy="31343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134360"/>
                    </a:xfrm>
                    <a:prstGeom prst="rect">
                      <a:avLst/>
                    </a:prstGeom>
                  </pic:spPr>
                </pic:pic>
              </a:graphicData>
            </a:graphic>
          </wp:inline>
        </w:drawing>
      </w:r>
    </w:p>
    <w:p w:rsidR="0085636D" w:rsidRDefault="003C297E">
      <w:pPr>
        <w:pStyle w:val="Figure"/>
      </w:pPr>
      <w:r>
        <w:t xml:space="preserve">Figure </w:t>
      </w:r>
      <w:r w:rsidR="008E3BB5">
        <w:t>1</w:t>
      </w:r>
      <w:r w:rsidR="009D5C95">
        <w:t>.2</w:t>
      </w:r>
      <w:r>
        <w:t xml:space="preserve">:  “Drug View” of azathioprine for data from the Open TG-GATEs and </w:t>
      </w:r>
      <w:proofErr w:type="spellStart"/>
      <w:r>
        <w:t>DrugMatrix</w:t>
      </w:r>
      <w:proofErr w:type="spellEnd"/>
      <w:r>
        <w:t xml:space="preserve"> data sets. (top) A table with cross-references and toxicity information. Next to that</w:t>
      </w:r>
      <w:r w:rsidR="00C11993">
        <w:t xml:space="preserve"> is</w:t>
      </w:r>
      <w:r>
        <w:t xml:space="preserve"> the treatment parameter selection. Active choices </w:t>
      </w:r>
      <w:r w:rsidR="00A32AE4">
        <w:t xml:space="preserve">(liver cell types) </w:t>
      </w:r>
      <w:r>
        <w:t xml:space="preserve">are shown in white. (bottom) </w:t>
      </w:r>
      <w:r w:rsidR="00C11993">
        <w:t>A b</w:t>
      </w:r>
      <w:r>
        <w:t>ar chart of the most responsive pathways across the chosen treatment parameters.</w:t>
      </w:r>
    </w:p>
    <w:p w:rsidR="00265432" w:rsidRDefault="00265432">
      <w:pPr>
        <w:pStyle w:val="Heading3"/>
        <w:numPr>
          <w:ilvl w:val="2"/>
          <w:numId w:val="2"/>
        </w:numPr>
      </w:pPr>
    </w:p>
    <w:p w:rsidR="0085636D" w:rsidRDefault="003C297E">
      <w:pPr>
        <w:pStyle w:val="Heading3"/>
        <w:numPr>
          <w:ilvl w:val="2"/>
          <w:numId w:val="2"/>
        </w:numPr>
      </w:pPr>
      <w:r>
        <w:t>Conclusion</w:t>
      </w:r>
    </w:p>
    <w:p w:rsidR="0085636D" w:rsidRDefault="003C297E">
      <w:pPr>
        <w:pStyle w:val="Textbody"/>
      </w:pPr>
      <w:r>
        <w:t xml:space="preserve">The most responsive pathways in all liver cell types are a number of biosynthesis pathways which fits azathioprine’s ascribed role as </w:t>
      </w:r>
      <w:proofErr w:type="spellStart"/>
      <w:r>
        <w:t>amidophosphoribosyltransferase</w:t>
      </w:r>
      <w:proofErr w:type="spellEnd"/>
      <w:r>
        <w:t xml:space="preserve"> inhibitor.</w:t>
      </w:r>
    </w:p>
    <w:p w:rsidR="009D5C95" w:rsidRDefault="009D5C95">
      <w:pPr>
        <w:pStyle w:val="Heading2"/>
        <w:numPr>
          <w:ilvl w:val="1"/>
          <w:numId w:val="3"/>
        </w:numPr>
      </w:pPr>
    </w:p>
    <w:p w:rsidR="0085636D" w:rsidRPr="00981CC1" w:rsidRDefault="009D5C95" w:rsidP="009D5C95">
      <w:pPr>
        <w:widowControl/>
        <w:tabs>
          <w:tab w:val="clear" w:pos="709"/>
        </w:tabs>
        <w:suppressAutoHyphens w:val="0"/>
        <w:rPr>
          <w:rFonts w:ascii="Arial" w:hAnsi="Arial" w:cs="Arial"/>
          <w:b/>
          <w:bCs/>
          <w:i/>
          <w:iCs/>
          <w:sz w:val="28"/>
          <w:szCs w:val="28"/>
        </w:rPr>
      </w:pPr>
      <w:r>
        <w:br w:type="page"/>
      </w:r>
      <w:r w:rsidR="003C297E" w:rsidRPr="00981CC1">
        <w:rPr>
          <w:rFonts w:ascii="Arial" w:hAnsi="Arial" w:cs="Arial"/>
          <w:b/>
          <w:i/>
          <w:sz w:val="28"/>
          <w:szCs w:val="28"/>
        </w:rPr>
        <w:lastRenderedPageBreak/>
        <w:t>Rifampin</w:t>
      </w:r>
    </w:p>
    <w:p w:rsidR="0085636D" w:rsidRDefault="003C297E">
      <w:pPr>
        <w:pStyle w:val="Heading3"/>
        <w:numPr>
          <w:ilvl w:val="2"/>
          <w:numId w:val="3"/>
        </w:numPr>
      </w:pPr>
      <w:proofErr w:type="spellStart"/>
      <w:r>
        <w:t>ToxDB</w:t>
      </w:r>
      <w:proofErr w:type="spellEnd"/>
    </w:p>
    <w:p w:rsidR="0085636D" w:rsidRDefault="003C297E">
      <w:pPr>
        <w:pStyle w:val="Textbody"/>
      </w:pPr>
      <w:r>
        <w:t>As stated by Greene et al. (2010), for rifampin, or rifampicin, there is only weak evidence for human hepatotoxicity (WE) but it is of “most DILI concern” with a severity level of 8 out of 8 according to Chen et al. (2011).</w:t>
      </w:r>
    </w:p>
    <w:p w:rsidR="0085636D" w:rsidRDefault="003C297E">
      <w:pPr>
        <w:pStyle w:val="Heading3"/>
        <w:numPr>
          <w:ilvl w:val="2"/>
          <w:numId w:val="2"/>
        </w:numPr>
      </w:pPr>
      <w:r>
        <w:t>Mechanism of Action</w:t>
      </w:r>
    </w:p>
    <w:p w:rsidR="0085636D" w:rsidRDefault="003C297E">
      <w:pPr>
        <w:pStyle w:val="Textbody"/>
        <w:numPr>
          <w:ilvl w:val="0"/>
          <w:numId w:val="7"/>
        </w:numPr>
      </w:pPr>
      <w:r>
        <w:t>KEGG states that rifampicin has antibacterial functions and also shows its involvement in Cytochrome P450.</w:t>
      </w:r>
    </w:p>
    <w:p w:rsidR="0085636D" w:rsidRDefault="003C297E">
      <w:pPr>
        <w:pStyle w:val="Textbody"/>
        <w:numPr>
          <w:ilvl w:val="0"/>
          <w:numId w:val="7"/>
        </w:numPr>
      </w:pPr>
      <w:proofErr w:type="spellStart"/>
      <w:r>
        <w:t>DrugBank</w:t>
      </w:r>
      <w:proofErr w:type="spellEnd"/>
      <w:r>
        <w:t xml:space="preserve"> contains three rifampicin targets: two subunits beta of the DNA-directed RNA polymerase complex and the nuclear receptor subfamily 1 group I member 2. Rifampicin interacts with numerous cytochrome P450 enzymes, as a substrate, inhibitor and inducer. It also induces UDP-glucuronosyltransferase 1-1. It also interacts with multiple transporters of the solute carrier organic anion transporter family, multidrug resistance and associated proteins, the bile salt export pump and </w:t>
      </w:r>
      <w:proofErr w:type="spellStart"/>
      <w:r>
        <w:t>canalicular</w:t>
      </w:r>
      <w:proofErr w:type="spellEnd"/>
      <w:r>
        <w:t xml:space="preserve"> </w:t>
      </w:r>
      <w:proofErr w:type="spellStart"/>
      <w:r>
        <w:t>multispecific</w:t>
      </w:r>
      <w:proofErr w:type="spellEnd"/>
      <w:r>
        <w:t xml:space="preserve"> organic anion transporters 1 and 2.</w:t>
      </w:r>
    </w:p>
    <w:p w:rsidR="0085636D" w:rsidRDefault="003C297E">
      <w:pPr>
        <w:pStyle w:val="Textbody"/>
        <w:numPr>
          <w:ilvl w:val="0"/>
          <w:numId w:val="7"/>
        </w:numPr>
      </w:pPr>
      <w:proofErr w:type="spellStart"/>
      <w:r>
        <w:t>ChEMBL</w:t>
      </w:r>
      <w:proofErr w:type="spellEnd"/>
      <w:r>
        <w:t xml:space="preserve"> lists one known function of rifampicin: bacterial DNA-directed RNA polymerase inhibitor Campbell et al. (2001); </w:t>
      </w:r>
      <w:proofErr w:type="spellStart"/>
      <w:r>
        <w:t>Tupin</w:t>
      </w:r>
      <w:proofErr w:type="spellEnd"/>
      <w:r>
        <w:t xml:space="preserve"> et al. (2010); White et al. (1971).</w:t>
      </w:r>
    </w:p>
    <w:p w:rsidR="00981CC1" w:rsidRDefault="00981CC1" w:rsidP="00981CC1">
      <w:pPr>
        <w:pStyle w:val="Textbody"/>
        <w:tabs>
          <w:tab w:val="clear" w:pos="709"/>
        </w:tabs>
        <w:ind w:left="720"/>
      </w:pPr>
    </w:p>
    <w:p w:rsidR="0085636D" w:rsidRDefault="0085636D">
      <w:pPr>
        <w:pStyle w:val="Textbody"/>
      </w:pPr>
    </w:p>
    <w:p w:rsidR="00265432" w:rsidRDefault="00F61D78">
      <w:pPr>
        <w:pStyle w:val="Figure"/>
      </w:pPr>
      <w:r>
        <w:rPr>
          <w:noProof/>
          <w:lang w:eastAsia="en-US" w:bidi="ar-SA"/>
        </w:rPr>
        <w:drawing>
          <wp:inline distT="0" distB="0" distL="0" distR="0" wp14:anchorId="528A6E23" wp14:editId="23B027F5">
            <wp:extent cx="5731510" cy="29845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984500"/>
                    </a:xfrm>
                    <a:prstGeom prst="rect">
                      <a:avLst/>
                    </a:prstGeom>
                  </pic:spPr>
                </pic:pic>
              </a:graphicData>
            </a:graphic>
          </wp:inline>
        </w:drawing>
      </w:r>
    </w:p>
    <w:p w:rsidR="009D5C95" w:rsidRDefault="003C297E" w:rsidP="00981CC1">
      <w:pPr>
        <w:pStyle w:val="Figure"/>
      </w:pPr>
      <w:r>
        <w:t xml:space="preserve">Figure </w:t>
      </w:r>
      <w:r w:rsidR="008E3BB5">
        <w:t>1</w:t>
      </w:r>
      <w:r w:rsidR="009D5C95">
        <w:t>.3</w:t>
      </w:r>
      <w:r>
        <w:t xml:space="preserve">: “Drug View” of rifampin for data from the Open TG-GATEs and </w:t>
      </w:r>
      <w:proofErr w:type="spellStart"/>
      <w:r>
        <w:t>DrugMatrix</w:t>
      </w:r>
      <w:proofErr w:type="spellEnd"/>
      <w:r>
        <w:t xml:space="preserve"> data sets. (top) TA table with cross-references and toxicity information. Next to that </w:t>
      </w:r>
      <w:r w:rsidR="00C11993">
        <w:t xml:space="preserve">is </w:t>
      </w:r>
      <w:r>
        <w:t xml:space="preserve">the treatment parameter selection. Active choices are shown in white. (bottom) </w:t>
      </w:r>
      <w:r w:rsidR="00C11993">
        <w:t>A b</w:t>
      </w:r>
      <w:r>
        <w:t>ar chart of the most responsive pathways acro</w:t>
      </w:r>
      <w:r w:rsidR="009D5C95">
        <w:rPr>
          <w:noProof/>
          <w:lang w:eastAsia="en-US" w:bidi="ar-SA"/>
        </w:rPr>
        <w:drawing>
          <wp:anchor distT="0" distB="0" distL="0" distR="0" simplePos="0" relativeHeight="2" behindDoc="0" locked="0" layoutInCell="1" allowOverlap="1" wp14:anchorId="37F9A36B" wp14:editId="7EFF094C">
            <wp:simplePos x="0" y="0"/>
            <wp:positionH relativeFrom="character">
              <wp:posOffset>62230</wp:posOffset>
            </wp:positionH>
            <wp:positionV relativeFrom="line">
              <wp:posOffset>5844540</wp:posOffset>
            </wp:positionV>
            <wp:extent cx="5249545" cy="2755900"/>
            <wp:effectExtent l="0" t="0" r="0" b="0"/>
            <wp:wrapTopAndBottom/>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A description..."/>
                    <pic:cNvPicPr>
                      <a:picLocks noChangeAspect="1" noChangeArrowheads="1"/>
                    </pic:cNvPicPr>
                  </pic:nvPicPr>
                  <pic:blipFill>
                    <a:blip r:embed="rId12"/>
                    <a:srcRect/>
                    <a:stretch>
                      <a:fillRect/>
                    </a:stretch>
                  </pic:blipFill>
                  <pic:spPr bwMode="auto">
                    <a:xfrm>
                      <a:off x="0" y="0"/>
                      <a:ext cx="5249545" cy="275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ss the chosen treatment parameters.</w:t>
      </w:r>
    </w:p>
    <w:p w:rsidR="0085636D" w:rsidRDefault="003C297E">
      <w:pPr>
        <w:pStyle w:val="Heading3"/>
        <w:numPr>
          <w:ilvl w:val="2"/>
          <w:numId w:val="2"/>
        </w:numPr>
      </w:pPr>
      <w:r>
        <w:lastRenderedPageBreak/>
        <w:t>Conclusion</w:t>
      </w:r>
    </w:p>
    <w:p w:rsidR="0085636D" w:rsidRDefault="003C297E">
      <w:pPr>
        <w:pStyle w:val="Textbody"/>
      </w:pPr>
      <w:r>
        <w:t xml:space="preserve">The pathway responses of liver cells to treatment with rifampin are very high. Besides a high response of the </w:t>
      </w:r>
      <w:proofErr w:type="spellStart"/>
      <w:r>
        <w:t>xenobiotics</w:t>
      </w:r>
      <w:proofErr w:type="spellEnd"/>
      <w:r>
        <w:t xml:space="preserve"> pathway, no clear overlap between the known mechanism of action and the top responses is apparent, however.</w:t>
      </w:r>
    </w:p>
    <w:p w:rsidR="00265432" w:rsidRDefault="00265432">
      <w:pPr>
        <w:pStyle w:val="Heading2"/>
        <w:numPr>
          <w:ilvl w:val="1"/>
          <w:numId w:val="3"/>
        </w:numPr>
      </w:pPr>
    </w:p>
    <w:p w:rsidR="0085636D" w:rsidRDefault="003C297E">
      <w:pPr>
        <w:pStyle w:val="Heading2"/>
        <w:numPr>
          <w:ilvl w:val="1"/>
          <w:numId w:val="3"/>
        </w:numPr>
      </w:pPr>
      <w:r>
        <w:t>Cyclophosphamide</w:t>
      </w:r>
    </w:p>
    <w:p w:rsidR="0085636D" w:rsidRDefault="003C297E">
      <w:pPr>
        <w:pStyle w:val="Heading3"/>
        <w:numPr>
          <w:ilvl w:val="2"/>
          <w:numId w:val="3"/>
        </w:numPr>
      </w:pPr>
      <w:proofErr w:type="spellStart"/>
      <w:r>
        <w:t>ToxDB</w:t>
      </w:r>
      <w:proofErr w:type="spellEnd"/>
    </w:p>
    <w:p w:rsidR="0085636D" w:rsidRDefault="003C297E">
      <w:pPr>
        <w:pStyle w:val="Textbody"/>
      </w:pPr>
      <w:r>
        <w:t>As stated by Greene et al. (2010), cyclophosphamide is “human hepatotoxic” (HH). It is of “less DILI concern” with a severity level of 5 out of 8 according to Chen et al. (2011).</w:t>
      </w:r>
    </w:p>
    <w:p w:rsidR="0085636D" w:rsidRDefault="003C297E">
      <w:pPr>
        <w:pStyle w:val="Heading3"/>
        <w:numPr>
          <w:ilvl w:val="2"/>
          <w:numId w:val="2"/>
        </w:numPr>
      </w:pPr>
      <w:r>
        <w:t>Mechanism of Action</w:t>
      </w:r>
    </w:p>
    <w:p w:rsidR="0085636D" w:rsidRDefault="003C297E">
      <w:pPr>
        <w:pStyle w:val="Textbody"/>
        <w:numPr>
          <w:ilvl w:val="0"/>
          <w:numId w:val="8"/>
        </w:numPr>
      </w:pPr>
      <w:r>
        <w:t>KEGG describes cyclophosphamide’s activity as antineoplastic and alkylating. Additionally, multiple cytochrome P450 interactions are listed.</w:t>
      </w:r>
    </w:p>
    <w:p w:rsidR="0085636D" w:rsidRDefault="003C297E">
      <w:pPr>
        <w:pStyle w:val="Textbody"/>
        <w:numPr>
          <w:ilvl w:val="0"/>
          <w:numId w:val="8"/>
        </w:numPr>
      </w:pPr>
      <w:r>
        <w:t xml:space="preserve">According to </w:t>
      </w:r>
      <w:proofErr w:type="spellStart"/>
      <w:r>
        <w:t>DrugBank</w:t>
      </w:r>
      <w:proofErr w:type="spellEnd"/>
      <w:r>
        <w:t>, cyclophosphamide alkylates DNA. It also is a substrate for ten different cytochrome P450s and inhibits or induces many of them. In addition, it inhibits the multidrug resistance protein 1.</w:t>
      </w:r>
    </w:p>
    <w:p w:rsidR="0085636D" w:rsidRDefault="003C297E">
      <w:pPr>
        <w:pStyle w:val="Textbody"/>
        <w:numPr>
          <w:ilvl w:val="0"/>
          <w:numId w:val="8"/>
        </w:numPr>
      </w:pPr>
      <w:r>
        <w:t xml:space="preserve">The mechanism as reported by </w:t>
      </w:r>
      <w:proofErr w:type="spellStart"/>
      <w:r>
        <w:t>ChEMBL</w:t>
      </w:r>
      <w:proofErr w:type="spellEnd"/>
      <w:r>
        <w:t xml:space="preserve"> is DNA inhibition</w:t>
      </w:r>
      <w:r>
        <w:rPr>
          <w:rStyle w:val="Footnoteanchor"/>
        </w:rPr>
        <w:footnoteReference w:id="6"/>
      </w:r>
      <w:r>
        <w:t>.</w:t>
      </w:r>
    </w:p>
    <w:p w:rsidR="00981CC1" w:rsidRDefault="00981CC1" w:rsidP="00981CC1">
      <w:pPr>
        <w:pStyle w:val="Textbody"/>
        <w:tabs>
          <w:tab w:val="clear" w:pos="709"/>
        </w:tabs>
        <w:ind w:left="720"/>
      </w:pPr>
    </w:p>
    <w:p w:rsidR="0085636D" w:rsidRDefault="0085636D" w:rsidP="00981CC1">
      <w:pPr>
        <w:pStyle w:val="Textbody"/>
        <w:jc w:val="center"/>
      </w:pPr>
    </w:p>
    <w:p w:rsidR="00265432" w:rsidRDefault="00F61D78">
      <w:pPr>
        <w:pStyle w:val="Figure"/>
      </w:pPr>
      <w:r>
        <w:rPr>
          <w:noProof/>
          <w:lang w:eastAsia="en-US" w:bidi="ar-SA"/>
        </w:rPr>
        <w:drawing>
          <wp:inline distT="0" distB="0" distL="0" distR="0" wp14:anchorId="1914A91D" wp14:editId="48A884CB">
            <wp:extent cx="5731510" cy="28898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1-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89885"/>
                    </a:xfrm>
                    <a:prstGeom prst="rect">
                      <a:avLst/>
                    </a:prstGeom>
                  </pic:spPr>
                </pic:pic>
              </a:graphicData>
            </a:graphic>
          </wp:inline>
        </w:drawing>
      </w:r>
    </w:p>
    <w:p w:rsidR="0085636D" w:rsidRDefault="003C297E">
      <w:pPr>
        <w:pStyle w:val="Figure"/>
      </w:pPr>
      <w:r>
        <w:lastRenderedPageBreak/>
        <w:t xml:space="preserve">Figure </w:t>
      </w:r>
      <w:r w:rsidR="008E3BB5">
        <w:t>1</w:t>
      </w:r>
      <w:r w:rsidR="00A056C5">
        <w:t>.4</w:t>
      </w:r>
      <w:r>
        <w:t xml:space="preserve">: “Drug View” of cyclophosphamide for data from the Open TG-GATEs and </w:t>
      </w:r>
      <w:proofErr w:type="spellStart"/>
      <w:r>
        <w:t>DrugMatrix</w:t>
      </w:r>
      <w:proofErr w:type="spellEnd"/>
      <w:r>
        <w:t xml:space="preserve"> data sets. (top) A table with cross-references and toxicity information. Next to that </w:t>
      </w:r>
      <w:r w:rsidR="00C11993">
        <w:t xml:space="preserve">is </w:t>
      </w:r>
      <w:r>
        <w:t xml:space="preserve">the treatment parameter selection. Active choices </w:t>
      </w:r>
      <w:r w:rsidR="005467C9">
        <w:t xml:space="preserve">(heart cell types) </w:t>
      </w:r>
      <w:r>
        <w:t xml:space="preserve">are shown in white. (bottom) </w:t>
      </w:r>
      <w:r w:rsidR="00C11993">
        <w:t>A b</w:t>
      </w:r>
      <w:r>
        <w:t>ar chart of the most responsive pathways across the chosen treatment parameters.</w:t>
      </w:r>
    </w:p>
    <w:p w:rsidR="00265432" w:rsidRDefault="00265432">
      <w:pPr>
        <w:pStyle w:val="Heading3"/>
        <w:numPr>
          <w:ilvl w:val="2"/>
          <w:numId w:val="2"/>
        </w:numPr>
      </w:pPr>
    </w:p>
    <w:p w:rsidR="0085636D" w:rsidRDefault="003C297E">
      <w:pPr>
        <w:pStyle w:val="Heading3"/>
        <w:numPr>
          <w:ilvl w:val="2"/>
          <w:numId w:val="2"/>
        </w:numPr>
      </w:pPr>
      <w:r>
        <w:t>Conclusion</w:t>
      </w:r>
    </w:p>
    <w:p w:rsidR="0085636D" w:rsidRDefault="003C297E">
      <w:pPr>
        <w:pStyle w:val="Textbody"/>
      </w:pPr>
      <w:proofErr w:type="spellStart"/>
      <w:r>
        <w:t>DrugMatrix</w:t>
      </w:r>
      <w:proofErr w:type="spellEnd"/>
      <w:r>
        <w:t xml:space="preserve"> contains heart tissue results (from rats) that do not appear to be very specific. As before responsive pathways are: </w:t>
      </w:r>
      <w:proofErr w:type="spellStart"/>
      <w:r>
        <w:t>heme</w:t>
      </w:r>
      <w:proofErr w:type="spellEnd"/>
      <w:r>
        <w:t xml:space="preserve"> biosynthesis, DNA damage checkpoint and </w:t>
      </w:r>
      <w:proofErr w:type="spellStart"/>
      <w:r>
        <w:t>xenobiotics</w:t>
      </w:r>
      <w:proofErr w:type="spellEnd"/>
      <w:r>
        <w:t>.</w:t>
      </w:r>
    </w:p>
    <w:p w:rsidR="00265432" w:rsidRDefault="00265432">
      <w:pPr>
        <w:pStyle w:val="Heading2"/>
        <w:numPr>
          <w:ilvl w:val="1"/>
          <w:numId w:val="3"/>
        </w:numPr>
      </w:pPr>
    </w:p>
    <w:p w:rsidR="0085636D" w:rsidRDefault="003C297E">
      <w:pPr>
        <w:pStyle w:val="Heading2"/>
        <w:numPr>
          <w:ilvl w:val="1"/>
          <w:numId w:val="3"/>
        </w:numPr>
      </w:pPr>
      <w:r>
        <w:t>Doxorubicin</w:t>
      </w:r>
    </w:p>
    <w:p w:rsidR="0085636D" w:rsidRDefault="003C297E">
      <w:pPr>
        <w:pStyle w:val="Heading3"/>
        <w:numPr>
          <w:ilvl w:val="2"/>
          <w:numId w:val="3"/>
        </w:numPr>
      </w:pPr>
      <w:proofErr w:type="spellStart"/>
      <w:r>
        <w:t>ToxDB</w:t>
      </w:r>
      <w:proofErr w:type="spellEnd"/>
    </w:p>
    <w:p w:rsidR="0085636D" w:rsidRDefault="003C297E">
      <w:pPr>
        <w:pStyle w:val="Textbody"/>
      </w:pPr>
      <w:r>
        <w:t>Doxorubicin does not appear in the study of Greene et al. (2010) but is of “less DILI concern” with a severity level of 3 out of 8 according to Chen et al. (2011).</w:t>
      </w:r>
    </w:p>
    <w:p w:rsidR="0085636D" w:rsidRDefault="003C297E">
      <w:pPr>
        <w:pStyle w:val="Heading3"/>
        <w:numPr>
          <w:ilvl w:val="2"/>
          <w:numId w:val="2"/>
        </w:numPr>
      </w:pPr>
      <w:r>
        <w:t>Mechanism of Action</w:t>
      </w:r>
    </w:p>
    <w:p w:rsidR="0085636D" w:rsidRDefault="003C297E">
      <w:pPr>
        <w:pStyle w:val="Textbody"/>
        <w:numPr>
          <w:ilvl w:val="0"/>
          <w:numId w:val="9"/>
        </w:numPr>
      </w:pPr>
      <w:r>
        <w:t>Doxorubicin is also antineoplastic and interacts with cytochrome P450 according to KEGG.</w:t>
      </w:r>
    </w:p>
    <w:p w:rsidR="0085636D" w:rsidRDefault="003C297E" w:rsidP="00981CC1">
      <w:pPr>
        <w:pStyle w:val="Textbody"/>
        <w:numPr>
          <w:ilvl w:val="0"/>
          <w:numId w:val="9"/>
        </w:numPr>
        <w:ind w:left="714" w:hanging="357"/>
      </w:pPr>
      <w:proofErr w:type="spellStart"/>
      <w:r>
        <w:t>DrugBank</w:t>
      </w:r>
      <w:proofErr w:type="spellEnd"/>
      <w:r>
        <w:t xml:space="preserve"> reports two targets of doxorubicin: human DNA, which it intercalates, and DNA </w:t>
      </w:r>
      <w:proofErr w:type="spellStart"/>
      <w:r>
        <w:t>toposiomerase</w:t>
      </w:r>
      <w:proofErr w:type="spellEnd"/>
      <w:r>
        <w:t xml:space="preserve"> 2-alpha. It inhibits four cytochrome P450 members and is metabolized by different carbonyl reductases, various dehydrogenases and nitric oxide synthases. It is transported by or inhibits the multidrug resistance protein 1 and associates, </w:t>
      </w:r>
      <w:proofErr w:type="spellStart"/>
      <w:r>
        <w:t>canalicular</w:t>
      </w:r>
      <w:proofErr w:type="spellEnd"/>
      <w:r>
        <w:t xml:space="preserve"> </w:t>
      </w:r>
      <w:proofErr w:type="spellStart"/>
      <w:r>
        <w:t>multispecific</w:t>
      </w:r>
      <w:proofErr w:type="spellEnd"/>
      <w:r>
        <w:t xml:space="preserve"> organic anion transporters, several members of the ATP-binding cassette and solute carrier families, the bile salt export pump and </w:t>
      </w:r>
      <w:proofErr w:type="spellStart"/>
      <w:r>
        <w:t>RalA</w:t>
      </w:r>
      <w:proofErr w:type="spellEnd"/>
      <w:r>
        <w:t>-binding protein 1.</w:t>
      </w:r>
    </w:p>
    <w:p w:rsidR="0085636D" w:rsidRDefault="003C297E">
      <w:pPr>
        <w:pStyle w:val="Textbody"/>
        <w:numPr>
          <w:ilvl w:val="0"/>
          <w:numId w:val="9"/>
        </w:numPr>
      </w:pPr>
      <w:r>
        <w:t xml:space="preserve">According to </w:t>
      </w:r>
      <w:proofErr w:type="spellStart"/>
      <w:r>
        <w:t>ChEMBL</w:t>
      </w:r>
      <w:proofErr w:type="spellEnd"/>
      <w:r>
        <w:t>, doxorubicin is a DNA inhibitor and in particular a DNA topoisomerase II alpha inhibitor</w:t>
      </w:r>
      <w:r>
        <w:rPr>
          <w:rStyle w:val="Footnoteanchor"/>
        </w:rPr>
        <w:footnoteReference w:id="7"/>
      </w:r>
      <w:r>
        <w:t>.</w:t>
      </w:r>
    </w:p>
    <w:p w:rsidR="00265432" w:rsidRDefault="00265432" w:rsidP="00265432">
      <w:pPr>
        <w:pStyle w:val="Textbody"/>
        <w:tabs>
          <w:tab w:val="clear" w:pos="709"/>
        </w:tabs>
        <w:ind w:left="720"/>
      </w:pPr>
    </w:p>
    <w:p w:rsidR="00265432" w:rsidRDefault="00265432" w:rsidP="00265432">
      <w:pPr>
        <w:pStyle w:val="Textbody"/>
        <w:rPr>
          <w:rFonts w:cs="Times New Roman"/>
          <w:b/>
          <w:i/>
        </w:rPr>
      </w:pPr>
    </w:p>
    <w:p w:rsidR="00265432" w:rsidRDefault="00F61D78" w:rsidP="00265432">
      <w:pPr>
        <w:pStyle w:val="Textbody"/>
        <w:rPr>
          <w:rFonts w:cs="Times New Roman"/>
          <w:i/>
        </w:rPr>
      </w:pPr>
      <w:r>
        <w:rPr>
          <w:rFonts w:cs="Times New Roman"/>
          <w:i/>
          <w:noProof/>
          <w:lang w:eastAsia="en-US" w:bidi="ar-SA"/>
        </w:rPr>
        <w:lastRenderedPageBreak/>
        <w:drawing>
          <wp:inline distT="0" distB="0" distL="0" distR="0" wp14:anchorId="03FB2FA0" wp14:editId="565EB25D">
            <wp:extent cx="5731510" cy="364553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1-5.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645535"/>
                    </a:xfrm>
                    <a:prstGeom prst="rect">
                      <a:avLst/>
                    </a:prstGeom>
                  </pic:spPr>
                </pic:pic>
              </a:graphicData>
            </a:graphic>
          </wp:inline>
        </w:drawing>
      </w:r>
    </w:p>
    <w:p w:rsidR="00A056C5" w:rsidRPr="00265432" w:rsidRDefault="003C297E" w:rsidP="00265432">
      <w:pPr>
        <w:pStyle w:val="Textbody"/>
      </w:pPr>
      <w:r w:rsidRPr="00265432">
        <w:rPr>
          <w:rFonts w:cs="Times New Roman"/>
          <w:i/>
        </w:rPr>
        <w:t xml:space="preserve">Figure </w:t>
      </w:r>
      <w:r w:rsidR="008E3BB5">
        <w:rPr>
          <w:rFonts w:cs="Times New Roman"/>
          <w:i/>
        </w:rPr>
        <w:t>1</w:t>
      </w:r>
      <w:r w:rsidR="00A056C5" w:rsidRPr="00265432">
        <w:rPr>
          <w:rFonts w:cs="Times New Roman"/>
          <w:i/>
        </w:rPr>
        <w:t>.5</w:t>
      </w:r>
      <w:r w:rsidRPr="00265432">
        <w:rPr>
          <w:rFonts w:cs="Times New Roman"/>
          <w:i/>
        </w:rPr>
        <w:t xml:space="preserve">: “Drug View” of doxorubicin for data from the Open TG-GATEs and </w:t>
      </w:r>
      <w:proofErr w:type="spellStart"/>
      <w:r w:rsidRPr="00265432">
        <w:rPr>
          <w:rFonts w:cs="Times New Roman"/>
          <w:i/>
        </w:rPr>
        <w:t>DrugMatrix</w:t>
      </w:r>
      <w:proofErr w:type="spellEnd"/>
      <w:r w:rsidRPr="00265432">
        <w:rPr>
          <w:rFonts w:cs="Times New Roman"/>
          <w:i/>
        </w:rPr>
        <w:t xml:space="preserve"> data sets. (top) TA table with cross-references and toxicity information. Next to that </w:t>
      </w:r>
      <w:r w:rsidR="00C11993" w:rsidRPr="00265432">
        <w:rPr>
          <w:rFonts w:cs="Times New Roman"/>
          <w:i/>
        </w:rPr>
        <w:t xml:space="preserve">is </w:t>
      </w:r>
      <w:r w:rsidRPr="00265432">
        <w:rPr>
          <w:rFonts w:cs="Times New Roman"/>
          <w:i/>
        </w:rPr>
        <w:t>the treatment parameter selection. Active choices</w:t>
      </w:r>
      <w:r w:rsidR="005467C9" w:rsidRPr="00265432">
        <w:rPr>
          <w:rFonts w:cs="Times New Roman"/>
          <w:i/>
        </w:rPr>
        <w:t xml:space="preserve">(heart cell types) </w:t>
      </w:r>
      <w:r w:rsidRPr="00265432">
        <w:rPr>
          <w:rFonts w:cs="Times New Roman"/>
          <w:i/>
        </w:rPr>
        <w:t xml:space="preserve"> are shown in white. (bottom) </w:t>
      </w:r>
      <w:r w:rsidR="00C11993" w:rsidRPr="00265432">
        <w:rPr>
          <w:rFonts w:cs="Times New Roman"/>
          <w:i/>
        </w:rPr>
        <w:t>A b</w:t>
      </w:r>
      <w:r w:rsidRPr="00265432">
        <w:rPr>
          <w:rFonts w:cs="Times New Roman"/>
          <w:i/>
        </w:rPr>
        <w:t>ar chart of the most responsive pathways across the chosen treatment parameters.</w:t>
      </w:r>
    </w:p>
    <w:p w:rsidR="00265432" w:rsidRDefault="00265432" w:rsidP="00981CC1">
      <w:pPr>
        <w:pStyle w:val="Heading3"/>
        <w:numPr>
          <w:ilvl w:val="2"/>
          <w:numId w:val="2"/>
        </w:numPr>
      </w:pPr>
    </w:p>
    <w:p w:rsidR="0085636D" w:rsidRDefault="003C297E">
      <w:pPr>
        <w:pStyle w:val="Heading3"/>
        <w:numPr>
          <w:ilvl w:val="2"/>
          <w:numId w:val="2"/>
        </w:numPr>
      </w:pPr>
      <w:r>
        <w:t>Conclusion</w:t>
      </w:r>
    </w:p>
    <w:p w:rsidR="0085636D" w:rsidRDefault="003C297E">
      <w:pPr>
        <w:pStyle w:val="Textbody"/>
      </w:pPr>
      <w:r>
        <w:t xml:space="preserve">Similar to cyclophosphamide, responsive pathways are: </w:t>
      </w:r>
      <w:proofErr w:type="spellStart"/>
      <w:r>
        <w:t>heme</w:t>
      </w:r>
      <w:proofErr w:type="spellEnd"/>
      <w:r>
        <w:t xml:space="preserve"> biosynthesis, DNA damage related pathways. In addition, </w:t>
      </w:r>
      <w:proofErr w:type="spellStart"/>
      <w:r>
        <w:t>ketogenesis</w:t>
      </w:r>
      <w:proofErr w:type="spellEnd"/>
      <w:r>
        <w:t xml:space="preserve"> is affected by doxorubicin.</w:t>
      </w:r>
    </w:p>
    <w:p w:rsidR="009D5C95" w:rsidRDefault="009D5C95">
      <w:pPr>
        <w:pStyle w:val="Heading2"/>
        <w:numPr>
          <w:ilvl w:val="1"/>
          <w:numId w:val="3"/>
        </w:numPr>
      </w:pPr>
    </w:p>
    <w:p w:rsidR="0085636D" w:rsidRDefault="003C297E">
      <w:pPr>
        <w:pStyle w:val="Heading2"/>
        <w:numPr>
          <w:ilvl w:val="1"/>
          <w:numId w:val="3"/>
        </w:numPr>
      </w:pPr>
      <w:r>
        <w:t>References</w:t>
      </w:r>
    </w:p>
    <w:p w:rsidR="0085636D" w:rsidRDefault="003C297E">
      <w:pPr>
        <w:pStyle w:val="Textbody"/>
      </w:pPr>
      <w:r>
        <w:t xml:space="preserve">Campbell, E. A., N. </w:t>
      </w:r>
      <w:proofErr w:type="spellStart"/>
      <w:r>
        <w:t>Korzheva</w:t>
      </w:r>
      <w:proofErr w:type="spellEnd"/>
      <w:r>
        <w:t xml:space="preserve">, A. </w:t>
      </w:r>
      <w:proofErr w:type="spellStart"/>
      <w:r>
        <w:t>Mustaev</w:t>
      </w:r>
      <w:proofErr w:type="spellEnd"/>
      <w:r>
        <w:t xml:space="preserve">, K. Murakami, S. Nair, A. Goldfarb, and S. A. </w:t>
      </w:r>
      <w:proofErr w:type="spellStart"/>
      <w:r>
        <w:t>Darst</w:t>
      </w:r>
      <w:proofErr w:type="spellEnd"/>
      <w:r>
        <w:t xml:space="preserve">. “Structural Mechanism for Rifampicin Inhibition of Bacterial </w:t>
      </w:r>
      <w:proofErr w:type="spellStart"/>
      <w:r>
        <w:t>Rna</w:t>
      </w:r>
      <w:proofErr w:type="spellEnd"/>
      <w:r>
        <w:t xml:space="preserve"> Polymerase.” </w:t>
      </w:r>
      <w:r>
        <w:rPr>
          <w:i/>
        </w:rPr>
        <w:t>Cell</w:t>
      </w:r>
      <w:r>
        <w:t xml:space="preserve"> 104, no. 6 (March 23, 2001): 901–12.</w:t>
      </w:r>
    </w:p>
    <w:p w:rsidR="0085636D" w:rsidRDefault="003C297E">
      <w:pPr>
        <w:pStyle w:val="Textbody"/>
      </w:pPr>
      <w:r>
        <w:t xml:space="preserve">Chen, </w:t>
      </w:r>
      <w:proofErr w:type="spellStart"/>
      <w:r>
        <w:t>Minjun</w:t>
      </w:r>
      <w:proofErr w:type="spellEnd"/>
      <w:r>
        <w:t xml:space="preserve">, Vikrant Vijay, </w:t>
      </w:r>
      <w:proofErr w:type="spellStart"/>
      <w:r>
        <w:t>Qiang</w:t>
      </w:r>
      <w:proofErr w:type="spellEnd"/>
      <w:r>
        <w:t xml:space="preserve"> Shi, </w:t>
      </w:r>
      <w:proofErr w:type="spellStart"/>
      <w:r>
        <w:t>Zhichao</w:t>
      </w:r>
      <w:proofErr w:type="spellEnd"/>
      <w:r>
        <w:t xml:space="preserve"> Liu, Hong Fang, and </w:t>
      </w:r>
      <w:proofErr w:type="spellStart"/>
      <w:r>
        <w:t>Weida</w:t>
      </w:r>
      <w:proofErr w:type="spellEnd"/>
      <w:r>
        <w:t xml:space="preserve"> Tong. “FDA-Approved Drug Labeling for the Study of Drug-Induced Liver Injury.” </w:t>
      </w:r>
      <w:r>
        <w:rPr>
          <w:i/>
        </w:rPr>
        <w:t>Drug Discovery Today</w:t>
      </w:r>
      <w:r>
        <w:t xml:space="preserve"> 16, no. 15–16 (August 2011): 697–703. doi:10.1016/j.drudis.2011.05.007.</w:t>
      </w:r>
    </w:p>
    <w:p w:rsidR="0085636D" w:rsidRDefault="003C297E">
      <w:pPr>
        <w:pStyle w:val="Textbody"/>
      </w:pPr>
      <w:r>
        <w:t xml:space="preserve">Graham, Garry G, and Kieran F Scott. “Mechanism of Action of </w:t>
      </w:r>
      <w:proofErr w:type="spellStart"/>
      <w:r>
        <w:t>Paracetamol</w:t>
      </w:r>
      <w:proofErr w:type="spellEnd"/>
      <w:r>
        <w:t xml:space="preserve">.” </w:t>
      </w:r>
      <w:r>
        <w:rPr>
          <w:i/>
        </w:rPr>
        <w:t>American Journal of Therapeutics</w:t>
      </w:r>
      <w:r>
        <w:t xml:space="preserve"> 12, no. 1 (2005): 46—55. doi:10.1097/00045391-200501000-00008.</w:t>
      </w:r>
    </w:p>
    <w:p w:rsidR="0085636D" w:rsidRDefault="003C297E">
      <w:pPr>
        <w:pStyle w:val="Textbody"/>
      </w:pPr>
      <w:r>
        <w:t xml:space="preserve">Greene, Nigel, Lilia Fisk, Russell T. </w:t>
      </w:r>
      <w:proofErr w:type="spellStart"/>
      <w:r>
        <w:t>Naven</w:t>
      </w:r>
      <w:proofErr w:type="spellEnd"/>
      <w:r>
        <w:t xml:space="preserve">, </w:t>
      </w:r>
      <w:proofErr w:type="spellStart"/>
      <w:r>
        <w:t>Reine</w:t>
      </w:r>
      <w:proofErr w:type="spellEnd"/>
      <w:r>
        <w:t xml:space="preserve"> R. Note, </w:t>
      </w:r>
      <w:proofErr w:type="spellStart"/>
      <w:r>
        <w:t>Mukesh</w:t>
      </w:r>
      <w:proofErr w:type="spellEnd"/>
      <w:r>
        <w:t xml:space="preserve"> L. Patel, and Dennis J. </w:t>
      </w:r>
      <w:r>
        <w:lastRenderedPageBreak/>
        <w:t xml:space="preserve">Pelletier. “Developing Structure−Activity Relationships for the Prediction of Hepatotoxicity.” </w:t>
      </w:r>
      <w:r>
        <w:rPr>
          <w:i/>
        </w:rPr>
        <w:t>Chemical Research in Toxicology</w:t>
      </w:r>
      <w:r>
        <w:t xml:space="preserve"> 23, no. 7 (June 16, 2010): 1215–22. doi:10.1021/tx1000865.</w:t>
      </w:r>
    </w:p>
    <w:p w:rsidR="0085636D" w:rsidRDefault="003C297E">
      <w:pPr>
        <w:pStyle w:val="Textbody"/>
      </w:pPr>
      <w:proofErr w:type="spellStart"/>
      <w:r>
        <w:t>Hinz</w:t>
      </w:r>
      <w:proofErr w:type="spellEnd"/>
      <w:r>
        <w:t xml:space="preserve">, </w:t>
      </w:r>
      <w:proofErr w:type="spellStart"/>
      <w:r>
        <w:t>Burkhard</w:t>
      </w:r>
      <w:proofErr w:type="spellEnd"/>
      <w:r>
        <w:t xml:space="preserve">, Olga </w:t>
      </w:r>
      <w:proofErr w:type="spellStart"/>
      <w:r>
        <w:t>Cheremina</w:t>
      </w:r>
      <w:proofErr w:type="spellEnd"/>
      <w:r>
        <w:t xml:space="preserve">, and Kay </w:t>
      </w:r>
      <w:proofErr w:type="spellStart"/>
      <w:r>
        <w:t>Brune</w:t>
      </w:r>
      <w:proofErr w:type="spellEnd"/>
      <w:r>
        <w:t>. “Acetaminophen (</w:t>
      </w:r>
      <w:proofErr w:type="spellStart"/>
      <w:r>
        <w:t>paracetamol</w:t>
      </w:r>
      <w:proofErr w:type="spellEnd"/>
      <w:r>
        <w:t xml:space="preserve">) Is a Selective Cyclooxygenase-2 Inhibitor in Man.” </w:t>
      </w:r>
      <w:r>
        <w:rPr>
          <w:i/>
        </w:rPr>
        <w:t>FASEB Journal : Official Publication of the Federation of American Societies for Experimental Biology</w:t>
      </w:r>
      <w:r>
        <w:t xml:space="preserve"> 22, no. 2 (February 2008): 383—390. doi:10.1096/fj.07-8506com.</w:t>
      </w:r>
    </w:p>
    <w:p w:rsidR="0085636D" w:rsidRDefault="003C297E">
      <w:pPr>
        <w:pStyle w:val="Textbody"/>
      </w:pPr>
      <w:proofErr w:type="spellStart"/>
      <w:r>
        <w:t>Högestätt</w:t>
      </w:r>
      <w:proofErr w:type="spellEnd"/>
      <w:r>
        <w:t xml:space="preserve">, Edward D, Bo A G </w:t>
      </w:r>
      <w:proofErr w:type="spellStart"/>
      <w:r>
        <w:t>Jönsson</w:t>
      </w:r>
      <w:proofErr w:type="spellEnd"/>
      <w:r>
        <w:t xml:space="preserve">, Anna </w:t>
      </w:r>
      <w:proofErr w:type="spellStart"/>
      <w:r>
        <w:t>Ermund</w:t>
      </w:r>
      <w:proofErr w:type="spellEnd"/>
      <w:r>
        <w:t xml:space="preserve">, David A </w:t>
      </w:r>
      <w:proofErr w:type="spellStart"/>
      <w:r>
        <w:t>Andersson</w:t>
      </w:r>
      <w:proofErr w:type="spellEnd"/>
      <w:r>
        <w:t xml:space="preserve">, Henrik </w:t>
      </w:r>
      <w:proofErr w:type="spellStart"/>
      <w:r>
        <w:t>Björk</w:t>
      </w:r>
      <w:proofErr w:type="spellEnd"/>
      <w:r>
        <w:t xml:space="preserve">, Jessica P Alexander, Benjamin F </w:t>
      </w:r>
      <w:proofErr w:type="spellStart"/>
      <w:r>
        <w:t>Cravatt</w:t>
      </w:r>
      <w:proofErr w:type="spellEnd"/>
      <w:r>
        <w:t xml:space="preserve">, Allan I </w:t>
      </w:r>
      <w:proofErr w:type="spellStart"/>
      <w:r>
        <w:t>Basbaum</w:t>
      </w:r>
      <w:proofErr w:type="spellEnd"/>
      <w:r>
        <w:t xml:space="preserve">, and Peter M </w:t>
      </w:r>
      <w:proofErr w:type="spellStart"/>
      <w:r>
        <w:t>Zygmunt</w:t>
      </w:r>
      <w:proofErr w:type="spellEnd"/>
      <w:r>
        <w:t>. “Conversion of Acetaminophen to the Bioactive N-</w:t>
      </w:r>
      <w:proofErr w:type="spellStart"/>
      <w:r>
        <w:t>Acylphenolamine</w:t>
      </w:r>
      <w:proofErr w:type="spellEnd"/>
      <w:r>
        <w:t xml:space="preserve"> AM404 via Fatty Acid Amide Hydrolase-Dependent Arachidonic Acid Conjugation in the Nervous System.” </w:t>
      </w:r>
      <w:r>
        <w:rPr>
          <w:i/>
        </w:rPr>
        <w:t>The Journal of Biological Chemistry</w:t>
      </w:r>
      <w:r>
        <w:t xml:space="preserve"> 280, no. 36 (September 2005): 31405—31412. doi:10.1074/jbc.m501489200.</w:t>
      </w:r>
    </w:p>
    <w:p w:rsidR="0085636D" w:rsidRDefault="003C297E">
      <w:pPr>
        <w:pStyle w:val="Textbody"/>
      </w:pPr>
      <w:r>
        <w:t xml:space="preserve">Mallet, Christophe, David A </w:t>
      </w:r>
      <w:proofErr w:type="spellStart"/>
      <w:r>
        <w:t>Barrière</w:t>
      </w:r>
      <w:proofErr w:type="spellEnd"/>
      <w:r>
        <w:t xml:space="preserve">, Anna </w:t>
      </w:r>
      <w:proofErr w:type="spellStart"/>
      <w:r>
        <w:t>Ermund</w:t>
      </w:r>
      <w:proofErr w:type="spellEnd"/>
      <w:r>
        <w:t xml:space="preserve">, Bo A G </w:t>
      </w:r>
      <w:proofErr w:type="spellStart"/>
      <w:r>
        <w:t>Jönsson</w:t>
      </w:r>
      <w:proofErr w:type="spellEnd"/>
      <w:r>
        <w:t xml:space="preserve">, Alain </w:t>
      </w:r>
      <w:proofErr w:type="spellStart"/>
      <w:r>
        <w:t>Eschalier</w:t>
      </w:r>
      <w:proofErr w:type="spellEnd"/>
      <w:r>
        <w:t xml:space="preserve">, Peter M </w:t>
      </w:r>
      <w:proofErr w:type="spellStart"/>
      <w:r>
        <w:t>Zygmunt</w:t>
      </w:r>
      <w:proofErr w:type="spellEnd"/>
      <w:r>
        <w:t xml:space="preserve">, and Edward D </w:t>
      </w:r>
      <w:proofErr w:type="spellStart"/>
      <w:r>
        <w:t>Högestätt</w:t>
      </w:r>
      <w:proofErr w:type="spellEnd"/>
      <w:r>
        <w:t xml:space="preserve">. “TRPV1 in Brain Is Involved in Acetaminophen-Induced </w:t>
      </w:r>
      <w:proofErr w:type="spellStart"/>
      <w:r>
        <w:t>Antinociception</w:t>
      </w:r>
      <w:proofErr w:type="spellEnd"/>
      <w:r>
        <w:t xml:space="preserve">.” </w:t>
      </w:r>
      <w:proofErr w:type="spellStart"/>
      <w:r>
        <w:rPr>
          <w:i/>
        </w:rPr>
        <w:t>PloS</w:t>
      </w:r>
      <w:proofErr w:type="spellEnd"/>
      <w:r>
        <w:rPr>
          <w:i/>
        </w:rPr>
        <w:t xml:space="preserve"> One</w:t>
      </w:r>
      <w:r>
        <w:t xml:space="preserve"> 5, no. 9 (2010): 3307—3314. doi:10.1371/journal.pone.0012748.</w:t>
      </w:r>
    </w:p>
    <w:p w:rsidR="0085636D" w:rsidRDefault="003C297E">
      <w:pPr>
        <w:pStyle w:val="Textbody"/>
      </w:pPr>
      <w:proofErr w:type="spellStart"/>
      <w:r>
        <w:t>Sahasranaman</w:t>
      </w:r>
      <w:proofErr w:type="spellEnd"/>
      <w:r>
        <w:t xml:space="preserve">, </w:t>
      </w:r>
      <w:proofErr w:type="spellStart"/>
      <w:r>
        <w:t>Srikumar</w:t>
      </w:r>
      <w:proofErr w:type="spellEnd"/>
      <w:r>
        <w:t xml:space="preserve">, Danny Howard, and </w:t>
      </w:r>
      <w:proofErr w:type="spellStart"/>
      <w:r>
        <w:t>Sandip</w:t>
      </w:r>
      <w:proofErr w:type="spellEnd"/>
      <w:r>
        <w:t xml:space="preserve"> Roy. “Clinical Pharmacology and </w:t>
      </w:r>
      <w:proofErr w:type="spellStart"/>
      <w:r>
        <w:t>Pharmacogenetics</w:t>
      </w:r>
      <w:proofErr w:type="spellEnd"/>
      <w:r>
        <w:t xml:space="preserve"> of </w:t>
      </w:r>
      <w:proofErr w:type="spellStart"/>
      <w:r>
        <w:t>Thiopurines</w:t>
      </w:r>
      <w:proofErr w:type="spellEnd"/>
      <w:r>
        <w:t xml:space="preserve">.” </w:t>
      </w:r>
      <w:r>
        <w:rPr>
          <w:i/>
        </w:rPr>
        <w:t>European Journal of Clinical Pharmacology</w:t>
      </w:r>
      <w:r>
        <w:t xml:space="preserve"> 64, no. 8 (August 2008): 753–67. doi:10.1007/s00228-008-0478-6.</w:t>
      </w:r>
    </w:p>
    <w:p w:rsidR="0085636D" w:rsidRDefault="003C297E">
      <w:pPr>
        <w:pStyle w:val="Textbody"/>
      </w:pPr>
      <w:r>
        <w:t xml:space="preserve">Schwab, Jan M, Hermann J </w:t>
      </w:r>
      <w:proofErr w:type="spellStart"/>
      <w:r>
        <w:t>Schluesener</w:t>
      </w:r>
      <w:proofErr w:type="spellEnd"/>
      <w:r>
        <w:t xml:space="preserve">, and Stefan </w:t>
      </w:r>
      <w:proofErr w:type="spellStart"/>
      <w:r>
        <w:t>Laufer</w:t>
      </w:r>
      <w:proofErr w:type="spellEnd"/>
      <w:r>
        <w:t xml:space="preserve">. “COX-3: Just Another COX or the Solitary Elusive Target of </w:t>
      </w:r>
      <w:proofErr w:type="spellStart"/>
      <w:r>
        <w:t>Paracetamol</w:t>
      </w:r>
      <w:proofErr w:type="spellEnd"/>
      <w:r>
        <w:t xml:space="preserve">?” </w:t>
      </w:r>
      <w:r>
        <w:rPr>
          <w:i/>
        </w:rPr>
        <w:t>Lancet</w:t>
      </w:r>
      <w:r>
        <w:t xml:space="preserve"> 361, no. 9362 (March 2003): 981—982. doi:10.1016/s0140-6736(03)12841-3.</w:t>
      </w:r>
    </w:p>
    <w:p w:rsidR="0085636D" w:rsidRDefault="003C297E">
      <w:pPr>
        <w:pStyle w:val="Textbody"/>
      </w:pPr>
      <w:proofErr w:type="spellStart"/>
      <w:r>
        <w:t>Tupin</w:t>
      </w:r>
      <w:proofErr w:type="spellEnd"/>
      <w:r>
        <w:t xml:space="preserve">, Audrey, </w:t>
      </w:r>
      <w:proofErr w:type="spellStart"/>
      <w:r>
        <w:t>Maxime</w:t>
      </w:r>
      <w:proofErr w:type="spellEnd"/>
      <w:r>
        <w:t xml:space="preserve"> </w:t>
      </w:r>
      <w:proofErr w:type="spellStart"/>
      <w:r>
        <w:t>Gualtieri</w:t>
      </w:r>
      <w:proofErr w:type="spellEnd"/>
      <w:r>
        <w:t xml:space="preserve">, Françoise </w:t>
      </w:r>
      <w:proofErr w:type="spellStart"/>
      <w:r>
        <w:t>Roquet-Banères</w:t>
      </w:r>
      <w:proofErr w:type="spellEnd"/>
      <w:r>
        <w:t xml:space="preserve">, </w:t>
      </w:r>
      <w:proofErr w:type="spellStart"/>
      <w:r>
        <w:t>Zakia</w:t>
      </w:r>
      <w:proofErr w:type="spellEnd"/>
      <w:r>
        <w:t xml:space="preserve"> </w:t>
      </w:r>
      <w:proofErr w:type="spellStart"/>
      <w:r>
        <w:t>Morichaud</w:t>
      </w:r>
      <w:proofErr w:type="spellEnd"/>
      <w:r>
        <w:t xml:space="preserve">, Konstantin </w:t>
      </w:r>
      <w:proofErr w:type="spellStart"/>
      <w:r>
        <w:t>Brodolin</w:t>
      </w:r>
      <w:proofErr w:type="spellEnd"/>
      <w:r>
        <w:t xml:space="preserve">, and Jean-Paul </w:t>
      </w:r>
      <w:proofErr w:type="spellStart"/>
      <w:r>
        <w:t>Leonetti</w:t>
      </w:r>
      <w:proofErr w:type="spellEnd"/>
      <w:r>
        <w:t xml:space="preserve">. “Resistance to Rifampicin: At the Crossroads between Ecological, Genomic and Medical Concerns.” </w:t>
      </w:r>
      <w:r>
        <w:rPr>
          <w:i/>
        </w:rPr>
        <w:t>International Journal of Antimicrobial Agents</w:t>
      </w:r>
      <w:r>
        <w:t xml:space="preserve"> 35, no. 6 (June 2010): 519–23. doi:10.1016/j.ijantimicag.2009.12.017.</w:t>
      </w:r>
    </w:p>
    <w:p w:rsidR="0085636D" w:rsidRDefault="003C297E">
      <w:pPr>
        <w:pStyle w:val="Textbody"/>
      </w:pPr>
      <w:r>
        <w:t xml:space="preserve">White, R. J., G. C. </w:t>
      </w:r>
      <w:proofErr w:type="spellStart"/>
      <w:r>
        <w:t>Lancini</w:t>
      </w:r>
      <w:proofErr w:type="spellEnd"/>
      <w:r>
        <w:t xml:space="preserve">, and L. G. </w:t>
      </w:r>
      <w:proofErr w:type="spellStart"/>
      <w:r>
        <w:t>Silvestri</w:t>
      </w:r>
      <w:proofErr w:type="spellEnd"/>
      <w:r>
        <w:t xml:space="preserve">. “Mechanism of Action of Rifampin on Mycobacterium </w:t>
      </w:r>
      <w:proofErr w:type="spellStart"/>
      <w:r>
        <w:t>Smegmatis</w:t>
      </w:r>
      <w:proofErr w:type="spellEnd"/>
      <w:r>
        <w:t xml:space="preserve">.” </w:t>
      </w:r>
      <w:r>
        <w:rPr>
          <w:i/>
        </w:rPr>
        <w:t>Journal of Bacteriology</w:t>
      </w:r>
      <w:r>
        <w:t xml:space="preserve"> 108, no. 2 (November 1971): 737–41.</w:t>
      </w:r>
    </w:p>
    <w:p w:rsidR="0085636D" w:rsidRDefault="0085636D">
      <w:pPr>
        <w:pStyle w:val="Textbody"/>
      </w:pPr>
    </w:p>
    <w:p w:rsidR="0085636D" w:rsidRDefault="0085636D">
      <w:pPr>
        <w:pStyle w:val="Textbody"/>
      </w:pPr>
    </w:p>
    <w:p w:rsidR="0085636D" w:rsidRDefault="0085636D">
      <w:pPr>
        <w:pStyle w:val="Textbody"/>
        <w:sectPr w:rsidR="0085636D" w:rsidSect="00265432">
          <w:footerReference w:type="default" r:id="rId15"/>
          <w:pgSz w:w="11906" w:h="16838"/>
          <w:pgMar w:top="1440" w:right="1440" w:bottom="1440" w:left="1440" w:header="0" w:footer="1134" w:gutter="0"/>
          <w:cols w:space="720"/>
          <w:formProt w:val="0"/>
          <w:docGrid w:linePitch="326"/>
        </w:sectPr>
      </w:pPr>
    </w:p>
    <w:p w:rsidR="0085636D" w:rsidRDefault="009D5C95" w:rsidP="009D5C95">
      <w:pPr>
        <w:pStyle w:val="Heading1"/>
        <w:numPr>
          <w:ilvl w:val="0"/>
          <w:numId w:val="0"/>
        </w:numPr>
        <w:ind w:left="432" w:hanging="432"/>
        <w:jc w:val="left"/>
      </w:pPr>
      <w:r>
        <w:rPr>
          <w:sz w:val="28"/>
          <w:szCs w:val="28"/>
        </w:rPr>
        <w:lastRenderedPageBreak/>
        <w:t>Use Case 2</w:t>
      </w:r>
      <w:r w:rsidR="003C297E">
        <w:rPr>
          <w:sz w:val="28"/>
          <w:szCs w:val="28"/>
        </w:rPr>
        <w:t>: Collecting drug data for specific pathways</w:t>
      </w:r>
    </w:p>
    <w:p w:rsidR="0085636D" w:rsidRDefault="0085636D"/>
    <w:p w:rsidR="0085636D" w:rsidRDefault="003C297E">
      <w:r>
        <w:rPr>
          <w:b/>
          <w:bCs/>
        </w:rPr>
        <w:t>a)</w:t>
      </w:r>
      <w:r>
        <w:t xml:space="preserve"> With the </w:t>
      </w:r>
      <w:proofErr w:type="spellStart"/>
      <w:r>
        <w:t>ToxDB</w:t>
      </w:r>
      <w:proofErr w:type="spellEnd"/>
      <w:r>
        <w:t xml:space="preserve"> being a database focused on </w:t>
      </w:r>
      <w:proofErr w:type="spellStart"/>
      <w:r>
        <w:t>toxicogenomics</w:t>
      </w:r>
      <w:proofErr w:type="spellEnd"/>
      <w:r>
        <w:t xml:space="preserve">, we first looked at pathways that play a role in the metabolism of foreign substances, so called </w:t>
      </w:r>
      <w:proofErr w:type="spellStart"/>
      <w:r>
        <w:t>xenobiotics</w:t>
      </w:r>
      <w:proofErr w:type="spellEnd"/>
      <w:r>
        <w:t>.</w:t>
      </w:r>
    </w:p>
    <w:p w:rsidR="0085636D" w:rsidRDefault="003C297E">
      <w:r>
        <w:t xml:space="preserve">One prominent pathway in dealing with those </w:t>
      </w:r>
      <w:proofErr w:type="spellStart"/>
      <w:r>
        <w:t>xenobiotics</w:t>
      </w:r>
      <w:proofErr w:type="spellEnd"/>
      <w:r>
        <w:t xml:space="preserve"> is the cytochrome P450 pathway, which is known to account for the metabolism of more than 50% of all prescribed drugs (</w:t>
      </w:r>
      <w:r w:rsidR="00E85EB5">
        <w:t>Smith et al.</w:t>
      </w:r>
      <w:r w:rsidR="001C485B">
        <w:t>,</w:t>
      </w:r>
      <w:r w:rsidR="00E85EB5">
        <w:t xml:space="preserve"> 2014</w:t>
      </w:r>
      <w:r>
        <w:t>). The CYP3A4 protein is the most common and most versatile member of the cytochrome P450 protein family.</w:t>
      </w:r>
    </w:p>
    <w:p w:rsidR="00981CC1" w:rsidRDefault="003C297E" w:rsidP="00981CC1">
      <w:r>
        <w:t xml:space="preserve">When using the </w:t>
      </w:r>
      <w:proofErr w:type="spellStart"/>
      <w:r>
        <w:t>ToxDB</w:t>
      </w:r>
      <w:proofErr w:type="spellEnd"/>
      <w:r>
        <w:t xml:space="preserve"> to browse for the cytochrome P450 pathway one can find, for example the KEGG representation of that pathway named “Drug metabolism – cytochrome P450 – Homo sapiens (human)”. Clicking on it reveals the drug treatments that have the greatest effect on that pathway, i.e. those treatments that cause the highest expression changes in the genes involved in the pathway (Figure </w:t>
      </w:r>
      <w:r w:rsidR="008E3BB5">
        <w:t>2</w:t>
      </w:r>
      <w:r>
        <w:t>.1). The top treatment (the left most bar in the chart) involves the drug rifampin applied to human in</w:t>
      </w:r>
      <w:r w:rsidR="00A056C5">
        <w:t xml:space="preserve"> vitro liver cells at a dose of</w:t>
      </w:r>
      <w:r>
        <w:t xml:space="preserve"> 2.8 </w:t>
      </w:r>
      <w:proofErr w:type="spellStart"/>
      <w:r>
        <w:t>μM</w:t>
      </w:r>
      <w:proofErr w:type="spellEnd"/>
      <w:r>
        <w:t xml:space="preserve"> measured after 1 day. Study and treatment details can be viewed by hovering over the respective bar. The pathway response score of 4.3 is highly significant as indicated by far exceeding the three horizontal dashed lines. Those denote the 90%, 95%, and 99% quantiles, respectively, of the distribution of all pathway scores in the database. Furthermore, the treatments ranked 2</w:t>
      </w:r>
      <w:r>
        <w:rPr>
          <w:vertAlign w:val="superscript"/>
        </w:rPr>
        <w:t>nd</w:t>
      </w:r>
      <w:r>
        <w:t xml:space="preserve"> and 12</w:t>
      </w:r>
      <w:r>
        <w:rPr>
          <w:vertAlign w:val="superscript"/>
        </w:rPr>
        <w:t>th</w:t>
      </w:r>
      <w:r>
        <w:t xml:space="preserve"> also feature the drug rifam</w:t>
      </w:r>
      <w:r w:rsidR="00A056C5">
        <w:t xml:space="preserve">pin at different dosages (14 </w:t>
      </w:r>
      <w:proofErr w:type="spellStart"/>
      <w:r w:rsidR="00A056C5">
        <w:t>μM</w:t>
      </w:r>
      <w:proofErr w:type="spellEnd"/>
      <w:r>
        <w:t xml:space="preserve"> and 70 </w:t>
      </w:r>
      <w:proofErr w:type="spellStart"/>
      <w:r>
        <w:t>μM</w:t>
      </w:r>
      <w:proofErr w:type="spellEnd"/>
      <w:r>
        <w:t>, respectively).</w:t>
      </w:r>
    </w:p>
    <w:p w:rsidR="00047943" w:rsidRDefault="00047943" w:rsidP="00981CC1"/>
    <w:p w:rsidR="00265432" w:rsidRDefault="00265432" w:rsidP="00265432">
      <w:pPr>
        <w:jc w:val="center"/>
      </w:pPr>
    </w:p>
    <w:p w:rsidR="00981CC1" w:rsidRDefault="006B14C9" w:rsidP="00265432">
      <w:pPr>
        <w:pStyle w:val="Figure"/>
      </w:pPr>
      <w:r>
        <w:rPr>
          <w:noProof/>
          <w:lang w:eastAsia="en-US" w:bidi="ar-SA"/>
        </w:rPr>
        <w:drawing>
          <wp:inline distT="0" distB="0" distL="0" distR="0" wp14:anchorId="2FAD0C48" wp14:editId="1CBCEFF7">
            <wp:extent cx="6120130" cy="34436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2-1.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443605"/>
                    </a:xfrm>
                    <a:prstGeom prst="rect">
                      <a:avLst/>
                    </a:prstGeom>
                  </pic:spPr>
                </pic:pic>
              </a:graphicData>
            </a:graphic>
          </wp:inline>
        </w:drawing>
      </w:r>
    </w:p>
    <w:p w:rsidR="00265432" w:rsidRDefault="00265432" w:rsidP="00265432">
      <w:pPr>
        <w:pStyle w:val="Figure"/>
      </w:pPr>
      <w:r>
        <w:lastRenderedPageBreak/>
        <w:t xml:space="preserve">Figure </w:t>
      </w:r>
      <w:r w:rsidR="008E3BB5">
        <w:t>2</w:t>
      </w:r>
      <w:r>
        <w:t>.1: Pathway View of the KEGG representation of the cytochrome P450 pathway showing the most effective drug treatments.</w:t>
      </w:r>
    </w:p>
    <w:p w:rsidR="00981CC1" w:rsidRDefault="00981CC1">
      <w:bookmarkStart w:id="0" w:name="_GoBack"/>
      <w:bookmarkEnd w:id="0"/>
    </w:p>
    <w:p w:rsidR="0085636D" w:rsidRDefault="003C297E">
      <w:r>
        <w:t>Rifampin is used as a potent and broad spectrum antibiotic drug (</w:t>
      </w:r>
      <w:r w:rsidR="001C485B">
        <w:t>Campbell et al., 2001</w:t>
      </w:r>
      <w:r>
        <w:t>) that is known to induce the xenobiotic cytochrome P450 pathway by increasing CYP3A4 activity (</w:t>
      </w:r>
      <w:r w:rsidR="001C485B">
        <w:t>Hamilton et al., 2014</w:t>
      </w:r>
      <w:r>
        <w:t xml:space="preserve">). This particular effect is confirmed by the data in </w:t>
      </w:r>
      <w:proofErr w:type="spellStart"/>
      <w:r>
        <w:t>ToxDB</w:t>
      </w:r>
      <w:proofErr w:type="spellEnd"/>
      <w:r>
        <w:t xml:space="preserve">, as can be seen when switching to the gene expression view of rifampin with respect to the pathway (click on “View differential gene expression” in the respective bar's tooltip, which leads to the view in Figure </w:t>
      </w:r>
      <w:r w:rsidR="008E3BB5">
        <w:t>2</w:t>
      </w:r>
      <w:r>
        <w:t>.2). This view lists all genes involved in that pathway with their respective responses upon drug treatment. Here, clearly the most affected gene is CYP3A4 with a log</w:t>
      </w:r>
      <w:r>
        <w:rPr>
          <w:vertAlign w:val="subscript"/>
        </w:rPr>
        <w:t>2</w:t>
      </w:r>
      <w:r>
        <w:t xml:space="preserve"> fold change of 6.8 and a p-value of 1e-4, followed by other members of the cytochrome P450 family (CYP2B6, CYP3A5, CYP2C8, CYP2C9, CYP2C19, and CYP2A6). Most of those have been shown to be induced by rifampin as well (</w:t>
      </w:r>
      <w:proofErr w:type="spellStart"/>
      <w:r w:rsidR="001C485B">
        <w:t>Raucy</w:t>
      </w:r>
      <w:proofErr w:type="spellEnd"/>
      <w:r w:rsidR="001C485B">
        <w:t xml:space="preserve"> et al., 2002, and Chang et al., 1997</w:t>
      </w:r>
      <w:r>
        <w:t>).</w:t>
      </w:r>
    </w:p>
    <w:p w:rsidR="00265432" w:rsidRDefault="00265432"/>
    <w:p w:rsidR="0085636D" w:rsidRDefault="0085636D"/>
    <w:p w:rsidR="00265432" w:rsidRDefault="006B14C9">
      <w:pPr>
        <w:rPr>
          <w:i/>
          <w:iCs/>
        </w:rPr>
      </w:pPr>
      <w:bookmarkStart w:id="1" w:name="__DdeLink__76_1922410908"/>
      <w:bookmarkEnd w:id="1"/>
      <w:r>
        <w:rPr>
          <w:i/>
          <w:iCs/>
          <w:noProof/>
          <w:lang w:eastAsia="en-US" w:bidi="ar-SA"/>
        </w:rPr>
        <w:drawing>
          <wp:inline distT="0" distB="0" distL="0" distR="0" wp14:anchorId="174E86FD" wp14:editId="3A9D4A7D">
            <wp:extent cx="6120130" cy="3443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2-2.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443605"/>
                    </a:xfrm>
                    <a:prstGeom prst="rect">
                      <a:avLst/>
                    </a:prstGeom>
                  </pic:spPr>
                </pic:pic>
              </a:graphicData>
            </a:graphic>
          </wp:inline>
        </w:drawing>
      </w:r>
    </w:p>
    <w:p w:rsidR="0085636D" w:rsidRDefault="003C297E">
      <w:pPr>
        <w:rPr>
          <w:i/>
          <w:iCs/>
        </w:rPr>
      </w:pPr>
      <w:r>
        <w:rPr>
          <w:i/>
          <w:iCs/>
        </w:rPr>
        <w:t xml:space="preserve">Figure </w:t>
      </w:r>
      <w:r w:rsidR="008E3BB5">
        <w:rPr>
          <w:i/>
          <w:iCs/>
        </w:rPr>
        <w:t>2</w:t>
      </w:r>
      <w:r>
        <w:rPr>
          <w:i/>
          <w:iCs/>
        </w:rPr>
        <w:t>.2: Gene Expression View of the KEGG representation of the cytochrome P450 pathway showing the most affected genes after upon treatment with the drug rifampin.</w:t>
      </w:r>
    </w:p>
    <w:p w:rsidR="00265432" w:rsidRPr="00265432" w:rsidRDefault="00265432">
      <w:pPr>
        <w:rPr>
          <w:i/>
          <w:iCs/>
        </w:rPr>
      </w:pPr>
    </w:p>
    <w:p w:rsidR="0085636D" w:rsidRDefault="003C297E">
      <w:r>
        <w:t xml:space="preserve">Rifampin is also believed to be hepatotoxic, i.e. promoting liver disease. When going to the </w:t>
      </w:r>
      <w:proofErr w:type="spellStart"/>
      <w:r>
        <w:t>DrugView</w:t>
      </w:r>
      <w:proofErr w:type="spellEnd"/>
      <w:r>
        <w:t xml:space="preserve"> of rifampin (Figure </w:t>
      </w:r>
      <w:r w:rsidR="008E3BB5">
        <w:t>2</w:t>
      </w:r>
      <w:r>
        <w:t xml:space="preserve">.3) and setting the treatment parameters from above (study: TG-GATEs, </w:t>
      </w:r>
      <w:proofErr w:type="spellStart"/>
      <w:r>
        <w:t>celltype</w:t>
      </w:r>
      <w:proofErr w:type="spellEnd"/>
      <w:r>
        <w:t xml:space="preserve">: </w:t>
      </w:r>
      <w:proofErr w:type="spellStart"/>
      <w:r>
        <w:t>InVitroHumanLiver</w:t>
      </w:r>
      <w:proofErr w:type="spellEnd"/>
      <w:r>
        <w:t xml:space="preserve">, dose: 2.8 </w:t>
      </w:r>
      <w:proofErr w:type="spellStart"/>
      <w:r>
        <w:t>μM</w:t>
      </w:r>
      <w:proofErr w:type="spellEnd"/>
      <w:r>
        <w:t xml:space="preserve">, time: 1d), many liver-related pathways show up among the most affected (e.g. fatty acid-related pathways as well as pathways dealing with drug </w:t>
      </w:r>
      <w:r>
        <w:lastRenderedPageBreak/>
        <w:t>metabolism and toxicity in the liver). The increased disturbance of those pathways indicates a somewhat hepatotoxic effect of the described treatment. This goes hand in hand with the hepatotoxicity classification done by Greene et al. (</w:t>
      </w:r>
      <w:r w:rsidR="001C485B">
        <w:t>2010</w:t>
      </w:r>
      <w:r>
        <w:t>), who assign rifampin a “weak evidence for human hepatotoxicity”. Selecting other rifampin treatments reveal similar results.</w:t>
      </w:r>
    </w:p>
    <w:p w:rsidR="00981CC1" w:rsidRDefault="00981CC1"/>
    <w:p w:rsidR="00E85EB5" w:rsidRDefault="00E85EB5"/>
    <w:p w:rsidR="00265432" w:rsidRDefault="006B14C9" w:rsidP="00265432">
      <w:pPr>
        <w:rPr>
          <w:i/>
          <w:iCs/>
        </w:rPr>
      </w:pPr>
      <w:r>
        <w:rPr>
          <w:i/>
          <w:iCs/>
          <w:noProof/>
          <w:lang w:eastAsia="en-US" w:bidi="ar-SA"/>
        </w:rPr>
        <w:drawing>
          <wp:inline distT="0" distB="0" distL="0" distR="0" wp14:anchorId="3F3F6830" wp14:editId="7E8CDDEA">
            <wp:extent cx="6120130" cy="34436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2-3.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443605"/>
                    </a:xfrm>
                    <a:prstGeom prst="rect">
                      <a:avLst/>
                    </a:prstGeom>
                  </pic:spPr>
                </pic:pic>
              </a:graphicData>
            </a:graphic>
          </wp:inline>
        </w:drawing>
      </w:r>
    </w:p>
    <w:p w:rsidR="00265432" w:rsidRDefault="00265432" w:rsidP="00265432">
      <w:pPr>
        <w:rPr>
          <w:i/>
          <w:iCs/>
        </w:rPr>
      </w:pPr>
      <w:r>
        <w:rPr>
          <w:i/>
          <w:iCs/>
        </w:rPr>
        <w:t xml:space="preserve">Figure </w:t>
      </w:r>
      <w:r w:rsidR="008E3BB5">
        <w:rPr>
          <w:i/>
          <w:iCs/>
        </w:rPr>
        <w:t>2</w:t>
      </w:r>
      <w:r>
        <w:rPr>
          <w:i/>
          <w:iCs/>
        </w:rPr>
        <w:t>.3: Drug View of rifampin listing the most responsive pathways under the described treatment conditions.</w:t>
      </w:r>
    </w:p>
    <w:p w:rsidR="0085636D" w:rsidRDefault="0085636D"/>
    <w:p w:rsidR="0085636D" w:rsidRDefault="003C297E" w:rsidP="00981CC1">
      <w:r>
        <w:rPr>
          <w:b/>
          <w:bCs/>
        </w:rPr>
        <w:t>b)</w:t>
      </w:r>
      <w:r>
        <w:t xml:space="preserve"> Coming from the other direction, we can look at hepatotoxicity and analyze drugs that have an effect on related pathways. Non-alcoholic fatty liver disease (NAFLD) is described as being the most frequent cause of liver disease in the Western world (</w:t>
      </w:r>
      <w:r w:rsidR="001C485B">
        <w:t>Machado et al., 2014</w:t>
      </w:r>
      <w:r>
        <w:t xml:space="preserve">). The KEGG representation of that pathway can be found in </w:t>
      </w:r>
      <w:proofErr w:type="spellStart"/>
      <w:r>
        <w:t>ToxDB</w:t>
      </w:r>
      <w:proofErr w:type="spellEnd"/>
      <w:r>
        <w:t xml:space="preserve"> and reveals drug treatments that have the highest impact on it (Figure </w:t>
      </w:r>
      <w:r w:rsidR="008E3BB5">
        <w:t>2</w:t>
      </w:r>
      <w:r>
        <w:t xml:space="preserve">.4). The top-scoring treatment features the drug </w:t>
      </w:r>
      <w:proofErr w:type="spellStart"/>
      <w:r>
        <w:t>acarbose</w:t>
      </w:r>
      <w:proofErr w:type="spellEnd"/>
      <w:r>
        <w:t xml:space="preserve"> applied to rat hepatocytes (response score = 2.3,). </w:t>
      </w:r>
      <w:proofErr w:type="spellStart"/>
      <w:r>
        <w:t>Acarbose</w:t>
      </w:r>
      <w:proofErr w:type="spellEnd"/>
      <w:r>
        <w:t xml:space="preserve"> is commonly used to treat cardiovascular disease (CVD) in patients with type 2 diabetes (</w:t>
      </w:r>
      <w:r w:rsidR="001C485B">
        <w:t>Chen et al., 2014</w:t>
      </w:r>
      <w:r>
        <w:t>).</w:t>
      </w:r>
    </w:p>
    <w:p w:rsidR="0085636D" w:rsidRDefault="0085636D"/>
    <w:p w:rsidR="00C00D75" w:rsidRDefault="00C00D75"/>
    <w:p w:rsidR="0085636D" w:rsidRDefault="006B14C9">
      <w:r>
        <w:rPr>
          <w:i/>
          <w:iCs/>
          <w:noProof/>
          <w:lang w:eastAsia="en-US" w:bidi="ar-SA"/>
        </w:rPr>
        <w:lastRenderedPageBreak/>
        <w:drawing>
          <wp:inline distT="0" distB="0" distL="0" distR="0" wp14:anchorId="7D2A4A19" wp14:editId="5A699718">
            <wp:extent cx="6120130" cy="34436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2-4.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443605"/>
                    </a:xfrm>
                    <a:prstGeom prst="rect">
                      <a:avLst/>
                    </a:prstGeom>
                  </pic:spPr>
                </pic:pic>
              </a:graphicData>
            </a:graphic>
          </wp:inline>
        </w:drawing>
      </w:r>
    </w:p>
    <w:p w:rsidR="00265432" w:rsidRDefault="00265432" w:rsidP="00265432">
      <w:r>
        <w:rPr>
          <w:i/>
          <w:iCs/>
        </w:rPr>
        <w:t xml:space="preserve">Figure </w:t>
      </w:r>
      <w:r w:rsidR="008E3BB5">
        <w:rPr>
          <w:i/>
          <w:iCs/>
        </w:rPr>
        <w:t>2</w:t>
      </w:r>
      <w:r>
        <w:rPr>
          <w:i/>
          <w:iCs/>
        </w:rPr>
        <w:t>.4: Pathway View of the KEGG representation of the NAFLD pathway showing the most effective drug treatments.</w:t>
      </w:r>
    </w:p>
    <w:p w:rsidR="00265432" w:rsidRDefault="00265432"/>
    <w:p w:rsidR="0085636D" w:rsidRDefault="003C297E">
      <w:r>
        <w:t>Chen et al. (201</w:t>
      </w:r>
      <w:r w:rsidR="001C485B">
        <w:t>1 and 2013</w:t>
      </w:r>
      <w:r>
        <w:t xml:space="preserve">) have classified hundreds of drugs with respect to their potential to cause drug-induced liver injury. </w:t>
      </w:r>
      <w:proofErr w:type="spellStart"/>
      <w:r>
        <w:t>Acarbose</w:t>
      </w:r>
      <w:proofErr w:type="spellEnd"/>
      <w:r>
        <w:t xml:space="preserve"> was considered as “most-DILI-concern” and given the highest severity class 8. This effect is reflected in the high pathway response in Figure </w:t>
      </w:r>
      <w:r w:rsidR="008E3BB5">
        <w:t>2</w:t>
      </w:r>
      <w:r>
        <w:t xml:space="preserve">.4. Switching to the gene expression view allows for analysis of the pathway genes' individual responses (Figure </w:t>
      </w:r>
      <w:r w:rsidR="008E3BB5">
        <w:t>2</w:t>
      </w:r>
      <w:r w:rsidR="00FB748F">
        <w:t>.</w:t>
      </w:r>
      <w:r>
        <w:t>5). Here, it can be seen that the interleukins IL1B, IL1A, and IL6 as well as tumor necrosis factor (TNF) show the greatest response. All four of them have been described as mediators of the inflammatory response (</w:t>
      </w:r>
      <w:r w:rsidR="001C485B">
        <w:t>Opal et al., 2000</w:t>
      </w:r>
      <w:r>
        <w:t>).</w:t>
      </w:r>
    </w:p>
    <w:p w:rsidR="0085636D" w:rsidRDefault="0085636D"/>
    <w:p w:rsidR="0085636D" w:rsidRDefault="0085636D"/>
    <w:p w:rsidR="0085636D" w:rsidRDefault="000F45B8">
      <w:r>
        <w:rPr>
          <w:noProof/>
          <w:lang w:eastAsia="en-US" w:bidi="ar-SA"/>
        </w:rPr>
        <w:lastRenderedPageBreak/>
        <w:drawing>
          <wp:inline distT="0" distB="0" distL="0" distR="0" wp14:anchorId="1FD650DB" wp14:editId="7BE8B2ED">
            <wp:extent cx="6120130" cy="34436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2-5.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443605"/>
                    </a:xfrm>
                    <a:prstGeom prst="rect">
                      <a:avLst/>
                    </a:prstGeom>
                  </pic:spPr>
                </pic:pic>
              </a:graphicData>
            </a:graphic>
          </wp:inline>
        </w:drawing>
      </w:r>
    </w:p>
    <w:p w:rsidR="0085636D" w:rsidRDefault="0085636D"/>
    <w:p w:rsidR="0085636D" w:rsidRDefault="0085636D"/>
    <w:p w:rsidR="0085636D" w:rsidRDefault="0085636D"/>
    <w:p w:rsidR="0085636D" w:rsidRDefault="003C297E">
      <w:r>
        <w:rPr>
          <w:i/>
          <w:iCs/>
        </w:rPr>
        <w:t xml:space="preserve">Figure </w:t>
      </w:r>
      <w:r w:rsidR="008E3BB5">
        <w:rPr>
          <w:i/>
          <w:iCs/>
        </w:rPr>
        <w:t>2</w:t>
      </w:r>
      <w:r>
        <w:rPr>
          <w:i/>
          <w:iCs/>
        </w:rPr>
        <w:t xml:space="preserve">.5: Gene Expression View of the KEGG representation of the non-alcoholic fatty liver disease (NAFLD) pathway showing the most affected genes after upon treatment with the drug </w:t>
      </w:r>
      <w:proofErr w:type="spellStart"/>
      <w:r>
        <w:rPr>
          <w:i/>
          <w:iCs/>
        </w:rPr>
        <w:t>acarbose</w:t>
      </w:r>
      <w:proofErr w:type="spellEnd"/>
      <w:r>
        <w:rPr>
          <w:i/>
          <w:iCs/>
        </w:rPr>
        <w:t>.</w:t>
      </w:r>
    </w:p>
    <w:p w:rsidR="00265432" w:rsidRDefault="00265432"/>
    <w:p w:rsidR="0085636D" w:rsidRDefault="003C297E">
      <w:r>
        <w:t xml:space="preserve">With these use cases we demonstrated how </w:t>
      </w:r>
      <w:proofErr w:type="spellStart"/>
      <w:r>
        <w:t>ToxDB</w:t>
      </w:r>
      <w:proofErr w:type="spellEnd"/>
      <w:r>
        <w:t xml:space="preserve"> can be used to analyze specific, for example disease-related, pathways with respect to their susceptibility to a wide array of different drug treatments. On the one hand, this approach can help to identify drug treatments that enable certain pathways in order to deliberately combat malfunctions or diseases (exemplified in use case </w:t>
      </w:r>
      <w:r>
        <w:rPr>
          <w:i/>
          <w:iCs/>
        </w:rPr>
        <w:t>2a</w:t>
      </w:r>
      <w:r>
        <w:t xml:space="preserve">). On the other hand, it may identify drugs that promote or facilitate a particular disease of interest, in which case it may be advisable to switch to an alternative treatment (drug and/or dose) with a lesser effect on the corresponding pathway (exemplified in use case </w:t>
      </w:r>
      <w:r>
        <w:rPr>
          <w:i/>
          <w:iCs/>
        </w:rPr>
        <w:t>2b</w:t>
      </w:r>
      <w:r>
        <w:t>).</w:t>
      </w:r>
    </w:p>
    <w:p w:rsidR="0085636D" w:rsidRDefault="0085636D"/>
    <w:p w:rsidR="0085636D" w:rsidRDefault="0085636D"/>
    <w:p w:rsidR="0085636D" w:rsidRDefault="0085636D"/>
    <w:p w:rsidR="0085636D" w:rsidRDefault="0085636D"/>
    <w:p w:rsidR="0085636D" w:rsidRDefault="0085636D"/>
    <w:p w:rsidR="00265432" w:rsidRDefault="00265432">
      <w:pPr>
        <w:rPr>
          <w:b/>
          <w:bCs/>
        </w:rPr>
      </w:pPr>
    </w:p>
    <w:p w:rsidR="0085636D" w:rsidRPr="00981CC1" w:rsidRDefault="00981CC1">
      <w:pPr>
        <w:rPr>
          <w:rFonts w:ascii="Arial" w:hAnsi="Arial" w:cs="Arial"/>
          <w:i/>
          <w:sz w:val="28"/>
          <w:szCs w:val="28"/>
        </w:rPr>
      </w:pPr>
      <w:r w:rsidRPr="00981CC1">
        <w:rPr>
          <w:rFonts w:ascii="Arial" w:hAnsi="Arial" w:cs="Arial"/>
          <w:b/>
          <w:bCs/>
          <w:i/>
          <w:sz w:val="28"/>
          <w:szCs w:val="28"/>
        </w:rPr>
        <w:t>References</w:t>
      </w:r>
    </w:p>
    <w:p w:rsidR="0031374A" w:rsidRDefault="0031374A" w:rsidP="005C7015">
      <w:pPr>
        <w:pStyle w:val="PreformattedText"/>
        <w:spacing w:after="283"/>
        <w:rPr>
          <w:rFonts w:ascii="Times New Roman" w:hAnsi="Times New Roman"/>
          <w:sz w:val="24"/>
          <w:szCs w:val="24"/>
        </w:rPr>
      </w:pPr>
      <w:r>
        <w:rPr>
          <w:rFonts w:ascii="Times New Roman" w:hAnsi="Times New Roman"/>
          <w:sz w:val="24"/>
          <w:szCs w:val="24"/>
        </w:rPr>
        <w:t xml:space="preserve">Campbell EA, </w:t>
      </w:r>
      <w:proofErr w:type="spellStart"/>
      <w:r>
        <w:rPr>
          <w:rFonts w:ascii="Times New Roman" w:hAnsi="Times New Roman"/>
          <w:sz w:val="24"/>
          <w:szCs w:val="24"/>
        </w:rPr>
        <w:t>Korzheva</w:t>
      </w:r>
      <w:proofErr w:type="spellEnd"/>
      <w:r>
        <w:rPr>
          <w:rFonts w:ascii="Times New Roman" w:hAnsi="Times New Roman"/>
          <w:sz w:val="24"/>
          <w:szCs w:val="24"/>
        </w:rPr>
        <w:t xml:space="preserve"> N, </w:t>
      </w:r>
      <w:proofErr w:type="spellStart"/>
      <w:r>
        <w:rPr>
          <w:rFonts w:ascii="Times New Roman" w:hAnsi="Times New Roman"/>
          <w:sz w:val="24"/>
          <w:szCs w:val="24"/>
        </w:rPr>
        <w:t>Mustaev</w:t>
      </w:r>
      <w:proofErr w:type="spellEnd"/>
      <w:r>
        <w:rPr>
          <w:rFonts w:ascii="Times New Roman" w:hAnsi="Times New Roman"/>
          <w:sz w:val="24"/>
          <w:szCs w:val="24"/>
        </w:rPr>
        <w:t xml:space="preserve"> A, Murakami K, Nair S, Goldfarb A, </w:t>
      </w:r>
      <w:proofErr w:type="spellStart"/>
      <w:r>
        <w:rPr>
          <w:rFonts w:ascii="Times New Roman" w:hAnsi="Times New Roman"/>
          <w:sz w:val="24"/>
          <w:szCs w:val="24"/>
        </w:rPr>
        <w:t>Darst</w:t>
      </w:r>
      <w:proofErr w:type="spellEnd"/>
      <w:r>
        <w:rPr>
          <w:rFonts w:ascii="Times New Roman" w:hAnsi="Times New Roman"/>
          <w:sz w:val="24"/>
          <w:szCs w:val="24"/>
        </w:rPr>
        <w:t xml:space="preserve"> SA. Structural mechanism for rifampicin inhibition of bacterial </w:t>
      </w:r>
      <w:proofErr w:type="spellStart"/>
      <w:r>
        <w:rPr>
          <w:rFonts w:ascii="Times New Roman" w:hAnsi="Times New Roman"/>
          <w:sz w:val="24"/>
          <w:szCs w:val="24"/>
        </w:rPr>
        <w:t>rna</w:t>
      </w:r>
      <w:proofErr w:type="spellEnd"/>
      <w:r>
        <w:rPr>
          <w:rFonts w:ascii="Times New Roman" w:hAnsi="Times New Roman"/>
          <w:sz w:val="24"/>
          <w:szCs w:val="24"/>
        </w:rPr>
        <w:t xml:space="preserve"> polymerase. </w:t>
      </w:r>
      <w:r w:rsidRPr="00265432">
        <w:rPr>
          <w:rFonts w:ascii="Times New Roman" w:hAnsi="Times New Roman"/>
          <w:i/>
          <w:sz w:val="24"/>
          <w:szCs w:val="24"/>
        </w:rPr>
        <w:t>Cell.</w:t>
      </w:r>
      <w:r>
        <w:rPr>
          <w:rFonts w:ascii="Times New Roman" w:hAnsi="Times New Roman"/>
          <w:sz w:val="24"/>
          <w:szCs w:val="24"/>
        </w:rPr>
        <w:t xml:space="preserve"> 2001 Mar 23;104(6):901-12.</w:t>
      </w:r>
    </w:p>
    <w:p w:rsidR="0031374A" w:rsidRDefault="0031374A" w:rsidP="005C7015">
      <w:pPr>
        <w:pStyle w:val="PreformattedText"/>
        <w:spacing w:after="283"/>
      </w:pPr>
      <w:r>
        <w:t xml:space="preserve">Chang TK, Yu L, </w:t>
      </w:r>
      <w:proofErr w:type="spellStart"/>
      <w:r>
        <w:t>Maurel</w:t>
      </w:r>
      <w:proofErr w:type="spellEnd"/>
      <w:r>
        <w:t xml:space="preserve"> P, Waxman DJ. Enhanced cyclophosphamide and </w:t>
      </w:r>
      <w:proofErr w:type="spellStart"/>
      <w:r>
        <w:t>ifosfamide</w:t>
      </w:r>
      <w:proofErr w:type="spellEnd"/>
      <w:r>
        <w:t xml:space="preserve"> </w:t>
      </w:r>
      <w:r>
        <w:rPr>
          <w:rFonts w:ascii="Times New Roman" w:hAnsi="Times New Roman"/>
          <w:sz w:val="24"/>
          <w:szCs w:val="24"/>
        </w:rPr>
        <w:t xml:space="preserve">activation in primary human hepatocyte cultures: response to cytochrome P-450 inducers and </w:t>
      </w:r>
      <w:proofErr w:type="spellStart"/>
      <w:r>
        <w:rPr>
          <w:rFonts w:ascii="Times New Roman" w:hAnsi="Times New Roman"/>
          <w:sz w:val="24"/>
          <w:szCs w:val="24"/>
        </w:rPr>
        <w:t>autoinduction</w:t>
      </w:r>
      <w:proofErr w:type="spellEnd"/>
      <w:r>
        <w:rPr>
          <w:rFonts w:ascii="Times New Roman" w:hAnsi="Times New Roman"/>
          <w:sz w:val="24"/>
          <w:szCs w:val="24"/>
        </w:rPr>
        <w:t xml:space="preserve"> by </w:t>
      </w:r>
      <w:proofErr w:type="spellStart"/>
      <w:r>
        <w:rPr>
          <w:rFonts w:ascii="Times New Roman" w:hAnsi="Times New Roman"/>
          <w:sz w:val="24"/>
          <w:szCs w:val="24"/>
        </w:rPr>
        <w:t>oxazaphosphorines</w:t>
      </w:r>
      <w:proofErr w:type="spellEnd"/>
      <w:r>
        <w:rPr>
          <w:rFonts w:ascii="Times New Roman" w:hAnsi="Times New Roman"/>
          <w:sz w:val="24"/>
          <w:szCs w:val="24"/>
        </w:rPr>
        <w:t xml:space="preserve">. </w:t>
      </w:r>
      <w:r w:rsidRPr="00265432">
        <w:rPr>
          <w:rFonts w:ascii="Times New Roman" w:hAnsi="Times New Roman"/>
          <w:i/>
          <w:sz w:val="24"/>
          <w:szCs w:val="24"/>
        </w:rPr>
        <w:t>Cancer Res.</w:t>
      </w:r>
      <w:r>
        <w:rPr>
          <w:rFonts w:ascii="Times New Roman" w:hAnsi="Times New Roman"/>
          <w:sz w:val="24"/>
          <w:szCs w:val="24"/>
        </w:rPr>
        <w:t xml:space="preserve"> 1997 May 15;57(10):1946-54.</w:t>
      </w:r>
    </w:p>
    <w:p w:rsidR="0031374A" w:rsidRDefault="0031374A" w:rsidP="005C7015">
      <w:r>
        <w:t xml:space="preserve">Chen JM, Chang CW, Lin YC, </w:t>
      </w:r>
      <w:proofErr w:type="spellStart"/>
      <w:r>
        <w:t>Horng</w:t>
      </w:r>
      <w:proofErr w:type="spellEnd"/>
      <w:r>
        <w:t xml:space="preserve"> JT, </w:t>
      </w:r>
      <w:proofErr w:type="spellStart"/>
      <w:r>
        <w:t>Sheu</w:t>
      </w:r>
      <w:proofErr w:type="spellEnd"/>
      <w:r>
        <w:t xml:space="preserve"> WH. </w:t>
      </w:r>
      <w:proofErr w:type="spellStart"/>
      <w:r>
        <w:t>Acarbose</w:t>
      </w:r>
      <w:proofErr w:type="spellEnd"/>
      <w:r>
        <w:t xml:space="preserve"> treatment and the risk of cardiovascular disease in type 2 diabetic patients: a nationwide seven-year follow-up study. J </w:t>
      </w:r>
      <w:r w:rsidRPr="00265432">
        <w:rPr>
          <w:i/>
        </w:rPr>
        <w:t>Diabetes Res.</w:t>
      </w:r>
      <w:r>
        <w:t xml:space="preserve"> 2014;2014:812628. </w:t>
      </w:r>
      <w:proofErr w:type="spellStart"/>
      <w:r>
        <w:t>doi</w:t>
      </w:r>
      <w:proofErr w:type="spellEnd"/>
      <w:r>
        <w:t xml:space="preserve">: 10.1155/2014/812628. </w:t>
      </w:r>
      <w:proofErr w:type="spellStart"/>
      <w:r>
        <w:t>Epub</w:t>
      </w:r>
      <w:proofErr w:type="spellEnd"/>
      <w:r>
        <w:t xml:space="preserve"> 2014 Jul 7.</w:t>
      </w:r>
    </w:p>
    <w:p w:rsidR="0031374A" w:rsidRDefault="0031374A" w:rsidP="005C7015">
      <w:r>
        <w:t xml:space="preserve">Chen M, Hong H, Fang H, Kelly R, Zhou G, </w:t>
      </w:r>
      <w:proofErr w:type="spellStart"/>
      <w:r>
        <w:t>Borlak</w:t>
      </w:r>
      <w:proofErr w:type="spellEnd"/>
      <w:r>
        <w:t xml:space="preserve"> J, Tong W. Quantitative structure-activity relationship models for predicting drug-induced liver injury based on FDA-approved drug labeling annotation and using a large collection of drugs. </w:t>
      </w:r>
      <w:proofErr w:type="spellStart"/>
      <w:r w:rsidRPr="00265432">
        <w:rPr>
          <w:i/>
        </w:rPr>
        <w:t>Toxicol</w:t>
      </w:r>
      <w:proofErr w:type="spellEnd"/>
      <w:r w:rsidRPr="00265432">
        <w:rPr>
          <w:i/>
        </w:rPr>
        <w:t xml:space="preserve"> Sci.</w:t>
      </w:r>
      <w:r>
        <w:t xml:space="preserve"> 2013 Nov;136(1):242-9. </w:t>
      </w:r>
      <w:proofErr w:type="spellStart"/>
      <w:r>
        <w:t>doi</w:t>
      </w:r>
      <w:proofErr w:type="spellEnd"/>
      <w:r>
        <w:t>: 10.1093/</w:t>
      </w:r>
      <w:proofErr w:type="spellStart"/>
      <w:r>
        <w:t>toxsci</w:t>
      </w:r>
      <w:proofErr w:type="spellEnd"/>
      <w:r>
        <w:t xml:space="preserve">/kft189. </w:t>
      </w:r>
      <w:proofErr w:type="spellStart"/>
      <w:r>
        <w:t>Epub</w:t>
      </w:r>
      <w:proofErr w:type="spellEnd"/>
      <w:r>
        <w:t xml:space="preserve"> 2013 Aug 31.</w:t>
      </w:r>
    </w:p>
    <w:p w:rsidR="0031374A" w:rsidRDefault="0031374A" w:rsidP="005C7015">
      <w:r>
        <w:t xml:space="preserve">Chen M, Vijay V, Shi Q, Liu Z, Fang H, Tong W. FDA-approved drug labeling for the study of drug-induced liver injury. </w:t>
      </w:r>
      <w:r w:rsidRPr="00265432">
        <w:rPr>
          <w:i/>
        </w:rPr>
        <w:t xml:space="preserve">Drug </w:t>
      </w:r>
      <w:proofErr w:type="spellStart"/>
      <w:r w:rsidRPr="00265432">
        <w:rPr>
          <w:i/>
        </w:rPr>
        <w:t>Discov</w:t>
      </w:r>
      <w:proofErr w:type="spellEnd"/>
      <w:r w:rsidRPr="00265432">
        <w:rPr>
          <w:i/>
        </w:rPr>
        <w:t xml:space="preserve"> Today.</w:t>
      </w:r>
      <w:r>
        <w:t xml:space="preserve"> 2011 Aug;16(15-16):697-703. </w:t>
      </w:r>
      <w:proofErr w:type="spellStart"/>
      <w:r>
        <w:t>doi</w:t>
      </w:r>
      <w:proofErr w:type="spellEnd"/>
      <w:r>
        <w:t xml:space="preserve">: 10.1016/j.drudis.2011.05.007. </w:t>
      </w:r>
      <w:proofErr w:type="spellStart"/>
      <w:r>
        <w:t>Epub</w:t>
      </w:r>
      <w:proofErr w:type="spellEnd"/>
      <w:r>
        <w:t xml:space="preserve"> 2011 May 20.</w:t>
      </w:r>
    </w:p>
    <w:p w:rsidR="0031374A" w:rsidRDefault="0031374A" w:rsidP="005C7015">
      <w:r>
        <w:t xml:space="preserve">Greene N, Fisk L, </w:t>
      </w:r>
      <w:proofErr w:type="spellStart"/>
      <w:r>
        <w:t>Naven</w:t>
      </w:r>
      <w:proofErr w:type="spellEnd"/>
      <w:r>
        <w:t xml:space="preserve"> RT, Note RR, Patel ML, Pelletier DJ. Developing structure-activity relationships for the prediction of hepatotoxicity. </w:t>
      </w:r>
      <w:proofErr w:type="spellStart"/>
      <w:r w:rsidRPr="00265432">
        <w:rPr>
          <w:i/>
        </w:rPr>
        <w:t>Chem</w:t>
      </w:r>
      <w:proofErr w:type="spellEnd"/>
      <w:r w:rsidRPr="00265432">
        <w:rPr>
          <w:i/>
        </w:rPr>
        <w:t xml:space="preserve"> Res </w:t>
      </w:r>
      <w:proofErr w:type="spellStart"/>
      <w:r w:rsidRPr="00265432">
        <w:rPr>
          <w:i/>
        </w:rPr>
        <w:t>Toxicol</w:t>
      </w:r>
      <w:proofErr w:type="spellEnd"/>
      <w:r w:rsidRPr="00265432">
        <w:rPr>
          <w:i/>
        </w:rPr>
        <w:t>.</w:t>
      </w:r>
      <w:r>
        <w:t xml:space="preserve"> 2010 Jul 19;23(7):1215-22. </w:t>
      </w:r>
      <w:proofErr w:type="spellStart"/>
      <w:r>
        <w:t>doi</w:t>
      </w:r>
      <w:proofErr w:type="spellEnd"/>
      <w:r>
        <w:t>: 10.1021/tx1000865.</w:t>
      </w:r>
    </w:p>
    <w:p w:rsidR="0031374A" w:rsidRDefault="0031374A" w:rsidP="005C7015">
      <w:r>
        <w:t xml:space="preserve">Hamilton M, Wolf JL, </w:t>
      </w:r>
      <w:proofErr w:type="spellStart"/>
      <w:r>
        <w:t>Drolet</w:t>
      </w:r>
      <w:proofErr w:type="spellEnd"/>
      <w:r>
        <w:t xml:space="preserve"> DW, </w:t>
      </w:r>
      <w:proofErr w:type="spellStart"/>
      <w:r>
        <w:t>Fettner</w:t>
      </w:r>
      <w:proofErr w:type="spellEnd"/>
      <w:r>
        <w:t xml:space="preserve"> SH, </w:t>
      </w:r>
      <w:proofErr w:type="spellStart"/>
      <w:r>
        <w:t>Rakhit</w:t>
      </w:r>
      <w:proofErr w:type="spellEnd"/>
      <w:r>
        <w:t xml:space="preserve"> AK, Witt K, </w:t>
      </w:r>
      <w:proofErr w:type="spellStart"/>
      <w:r>
        <w:t>Lum</w:t>
      </w:r>
      <w:proofErr w:type="spellEnd"/>
      <w:r>
        <w:t xml:space="preserve"> BL. The effect of rifampicin, a prototypical CYP3A4 inducer, on </w:t>
      </w:r>
      <w:proofErr w:type="spellStart"/>
      <w:r>
        <w:t>erlotinib</w:t>
      </w:r>
      <w:proofErr w:type="spellEnd"/>
      <w:r>
        <w:t xml:space="preserve"> pharmacokinetics in healthy subjects. </w:t>
      </w:r>
      <w:r w:rsidRPr="00265432">
        <w:rPr>
          <w:i/>
        </w:rPr>
        <w:t xml:space="preserve">Cancer </w:t>
      </w:r>
      <w:proofErr w:type="spellStart"/>
      <w:r w:rsidRPr="00265432">
        <w:rPr>
          <w:i/>
        </w:rPr>
        <w:t>Chemother</w:t>
      </w:r>
      <w:proofErr w:type="spellEnd"/>
      <w:r w:rsidRPr="00265432">
        <w:rPr>
          <w:i/>
        </w:rPr>
        <w:t xml:space="preserve"> </w:t>
      </w:r>
      <w:proofErr w:type="spellStart"/>
      <w:r w:rsidRPr="00265432">
        <w:rPr>
          <w:i/>
        </w:rPr>
        <w:t>Pharmacol</w:t>
      </w:r>
      <w:proofErr w:type="spellEnd"/>
      <w:r w:rsidRPr="00265432">
        <w:rPr>
          <w:i/>
        </w:rPr>
        <w:t>.</w:t>
      </w:r>
      <w:r>
        <w:t xml:space="preserve"> 2014 Mar;73(3):613-21. </w:t>
      </w:r>
      <w:proofErr w:type="spellStart"/>
      <w:r>
        <w:t>doi</w:t>
      </w:r>
      <w:proofErr w:type="spellEnd"/>
      <w:r>
        <w:t xml:space="preserve">: 10.1007/s00280-014-2390-3. </w:t>
      </w:r>
      <w:proofErr w:type="spellStart"/>
      <w:r>
        <w:t>Epub</w:t>
      </w:r>
      <w:proofErr w:type="spellEnd"/>
      <w:r>
        <w:t xml:space="preserve"> 2014 Jan 29.</w:t>
      </w:r>
    </w:p>
    <w:p w:rsidR="0031374A" w:rsidRDefault="0031374A" w:rsidP="005C7015">
      <w:r>
        <w:t xml:space="preserve">Machado MV, Cortez-Pinto H. Non-alcoholic fatty liver disease: What the clinician needs to know. </w:t>
      </w:r>
      <w:r w:rsidRPr="00265432">
        <w:rPr>
          <w:i/>
        </w:rPr>
        <w:t xml:space="preserve">World J </w:t>
      </w:r>
      <w:proofErr w:type="spellStart"/>
      <w:r w:rsidRPr="00265432">
        <w:rPr>
          <w:i/>
        </w:rPr>
        <w:t>Gastroenterol</w:t>
      </w:r>
      <w:proofErr w:type="spellEnd"/>
      <w:r w:rsidRPr="00265432">
        <w:rPr>
          <w:i/>
        </w:rPr>
        <w:t>.</w:t>
      </w:r>
      <w:r>
        <w:t xml:space="preserve"> 2014 Sep 28;20(36):12956-12980. Review.</w:t>
      </w:r>
    </w:p>
    <w:p w:rsidR="0031374A" w:rsidRDefault="0031374A" w:rsidP="005C7015">
      <w:r>
        <w:t xml:space="preserve">Opal SM, </w:t>
      </w:r>
      <w:proofErr w:type="spellStart"/>
      <w:r>
        <w:t>DePalo</w:t>
      </w:r>
      <w:proofErr w:type="spellEnd"/>
      <w:r>
        <w:t xml:space="preserve"> VA. Anti-inflammatory cytokines. </w:t>
      </w:r>
      <w:r w:rsidRPr="00265432">
        <w:rPr>
          <w:i/>
        </w:rPr>
        <w:t>Chest.</w:t>
      </w:r>
      <w:r>
        <w:t xml:space="preserve"> 2000 Apr;117(4):1162-72. Review.</w:t>
      </w:r>
    </w:p>
    <w:p w:rsidR="0031374A" w:rsidRDefault="0031374A" w:rsidP="0031374A">
      <w:pPr>
        <w:pStyle w:val="PreformattedText"/>
        <w:rPr>
          <w:rFonts w:ascii="Times New Roman" w:hAnsi="Times New Roman"/>
          <w:sz w:val="24"/>
          <w:szCs w:val="24"/>
        </w:rPr>
      </w:pPr>
      <w:proofErr w:type="spellStart"/>
      <w:r w:rsidRPr="000C7554">
        <w:rPr>
          <w:rFonts w:ascii="Times New Roman" w:hAnsi="Times New Roman"/>
          <w:sz w:val="24"/>
          <w:szCs w:val="24"/>
        </w:rPr>
        <w:t>Raucy</w:t>
      </w:r>
      <w:proofErr w:type="spellEnd"/>
      <w:r w:rsidRPr="000C7554">
        <w:rPr>
          <w:rFonts w:ascii="Times New Roman" w:hAnsi="Times New Roman"/>
          <w:sz w:val="24"/>
          <w:szCs w:val="24"/>
        </w:rPr>
        <w:t xml:space="preserve"> JL, Mueller L, </w:t>
      </w:r>
      <w:proofErr w:type="spellStart"/>
      <w:r w:rsidRPr="000C7554">
        <w:rPr>
          <w:rFonts w:ascii="Times New Roman" w:hAnsi="Times New Roman"/>
          <w:sz w:val="24"/>
          <w:szCs w:val="24"/>
        </w:rPr>
        <w:t>Duan</w:t>
      </w:r>
      <w:proofErr w:type="spellEnd"/>
      <w:r w:rsidRPr="000C7554">
        <w:rPr>
          <w:rFonts w:ascii="Times New Roman" w:hAnsi="Times New Roman"/>
          <w:sz w:val="24"/>
          <w:szCs w:val="24"/>
        </w:rPr>
        <w:t xml:space="preserve"> K, Allen SW, Strom S, </w:t>
      </w:r>
      <w:proofErr w:type="spellStart"/>
      <w:r w:rsidRPr="000C7554">
        <w:rPr>
          <w:rFonts w:ascii="Times New Roman" w:hAnsi="Times New Roman"/>
          <w:sz w:val="24"/>
          <w:szCs w:val="24"/>
        </w:rPr>
        <w:t>Lasker</w:t>
      </w:r>
      <w:proofErr w:type="spellEnd"/>
      <w:r w:rsidRPr="000C7554">
        <w:rPr>
          <w:rFonts w:ascii="Times New Roman" w:hAnsi="Times New Roman"/>
          <w:sz w:val="24"/>
          <w:szCs w:val="24"/>
        </w:rPr>
        <w:t xml:space="preserve"> JM. </w:t>
      </w:r>
      <w:r>
        <w:rPr>
          <w:rFonts w:ascii="Times New Roman" w:hAnsi="Times New Roman"/>
          <w:sz w:val="24"/>
          <w:szCs w:val="24"/>
        </w:rPr>
        <w:t>Expression and</w:t>
      </w:r>
      <w:r>
        <w:t xml:space="preserve"> </w:t>
      </w:r>
      <w:r>
        <w:rPr>
          <w:rFonts w:ascii="Times New Roman" w:hAnsi="Times New Roman"/>
          <w:sz w:val="24"/>
          <w:szCs w:val="24"/>
        </w:rPr>
        <w:t xml:space="preserve">induction of CYP2C P450 enzymes in primary cultures of human hepatocytes. </w:t>
      </w:r>
      <w:r w:rsidRPr="00265432">
        <w:rPr>
          <w:rFonts w:ascii="Times New Roman" w:hAnsi="Times New Roman"/>
          <w:i/>
          <w:sz w:val="24"/>
          <w:szCs w:val="24"/>
        </w:rPr>
        <w:t xml:space="preserve">J </w:t>
      </w:r>
      <w:proofErr w:type="spellStart"/>
      <w:r w:rsidRPr="00265432">
        <w:rPr>
          <w:rFonts w:ascii="Times New Roman" w:hAnsi="Times New Roman"/>
          <w:i/>
          <w:sz w:val="24"/>
          <w:szCs w:val="24"/>
        </w:rPr>
        <w:t>Pharmacol</w:t>
      </w:r>
      <w:proofErr w:type="spellEnd"/>
      <w:r w:rsidRPr="00265432">
        <w:rPr>
          <w:rFonts w:ascii="Times New Roman" w:hAnsi="Times New Roman"/>
          <w:i/>
          <w:sz w:val="24"/>
          <w:szCs w:val="24"/>
        </w:rPr>
        <w:t xml:space="preserve"> </w:t>
      </w:r>
      <w:proofErr w:type="spellStart"/>
      <w:r w:rsidRPr="00265432">
        <w:rPr>
          <w:rFonts w:ascii="Times New Roman" w:hAnsi="Times New Roman"/>
          <w:i/>
          <w:sz w:val="24"/>
          <w:szCs w:val="24"/>
        </w:rPr>
        <w:t>Exp</w:t>
      </w:r>
      <w:proofErr w:type="spellEnd"/>
      <w:r w:rsidRPr="00265432">
        <w:rPr>
          <w:rFonts w:ascii="Times New Roman" w:hAnsi="Times New Roman"/>
          <w:i/>
          <w:sz w:val="24"/>
          <w:szCs w:val="24"/>
        </w:rPr>
        <w:t xml:space="preserve"> </w:t>
      </w:r>
      <w:proofErr w:type="spellStart"/>
      <w:r w:rsidRPr="00265432">
        <w:rPr>
          <w:rFonts w:ascii="Times New Roman" w:hAnsi="Times New Roman"/>
          <w:i/>
          <w:sz w:val="24"/>
          <w:szCs w:val="24"/>
        </w:rPr>
        <w:t>Ther</w:t>
      </w:r>
      <w:proofErr w:type="spellEnd"/>
      <w:r w:rsidRPr="00265432">
        <w:rPr>
          <w:rFonts w:ascii="Times New Roman" w:hAnsi="Times New Roman"/>
          <w:i/>
          <w:sz w:val="24"/>
          <w:szCs w:val="24"/>
        </w:rPr>
        <w:t>.</w:t>
      </w:r>
      <w:r>
        <w:rPr>
          <w:rFonts w:ascii="Times New Roman" w:hAnsi="Times New Roman"/>
          <w:sz w:val="24"/>
          <w:szCs w:val="24"/>
        </w:rPr>
        <w:t xml:space="preserve"> 2002 Aug;302(2):475-82.</w:t>
      </w:r>
    </w:p>
    <w:p w:rsidR="0031374A" w:rsidRDefault="0031374A" w:rsidP="0031374A">
      <w:pPr>
        <w:pStyle w:val="PreformattedText"/>
        <w:rPr>
          <w:rFonts w:ascii="Times New Roman" w:hAnsi="Times New Roman"/>
          <w:sz w:val="24"/>
          <w:szCs w:val="24"/>
        </w:rPr>
      </w:pPr>
    </w:p>
    <w:p w:rsidR="0031374A" w:rsidRDefault="0031374A" w:rsidP="0031374A">
      <w:pPr>
        <w:pStyle w:val="PreformattedText"/>
      </w:pPr>
      <w:r>
        <w:rPr>
          <w:rFonts w:ascii="Times New Roman" w:hAnsi="Times New Roman"/>
          <w:sz w:val="24"/>
          <w:szCs w:val="24"/>
        </w:rPr>
        <w:t xml:space="preserve">Smith RP, </w:t>
      </w:r>
      <w:proofErr w:type="spellStart"/>
      <w:r>
        <w:rPr>
          <w:rFonts w:ascii="Times New Roman" w:hAnsi="Times New Roman"/>
          <w:sz w:val="24"/>
          <w:szCs w:val="24"/>
        </w:rPr>
        <w:t>Eckalbar</w:t>
      </w:r>
      <w:proofErr w:type="spellEnd"/>
      <w:r>
        <w:rPr>
          <w:rFonts w:ascii="Times New Roman" w:hAnsi="Times New Roman"/>
          <w:sz w:val="24"/>
          <w:szCs w:val="24"/>
        </w:rPr>
        <w:t xml:space="preserve"> WL, Morrissey KM, </w:t>
      </w:r>
      <w:proofErr w:type="spellStart"/>
      <w:r>
        <w:rPr>
          <w:rFonts w:ascii="Times New Roman" w:hAnsi="Times New Roman"/>
          <w:sz w:val="24"/>
          <w:szCs w:val="24"/>
        </w:rPr>
        <w:t>Luizon</w:t>
      </w:r>
      <w:proofErr w:type="spellEnd"/>
      <w:r>
        <w:rPr>
          <w:rFonts w:ascii="Times New Roman" w:hAnsi="Times New Roman"/>
          <w:sz w:val="24"/>
          <w:szCs w:val="24"/>
        </w:rPr>
        <w:t xml:space="preserve"> MR, Hoffmann TJ, Sun X, Jones SL, </w:t>
      </w:r>
    </w:p>
    <w:p w:rsidR="0031374A" w:rsidRDefault="0031374A" w:rsidP="0031374A">
      <w:pPr>
        <w:pStyle w:val="PreformattedText"/>
      </w:pPr>
      <w:r>
        <w:rPr>
          <w:rFonts w:ascii="Times New Roman" w:hAnsi="Times New Roman"/>
          <w:sz w:val="24"/>
          <w:szCs w:val="24"/>
        </w:rPr>
        <w:t xml:space="preserve">Force </w:t>
      </w:r>
      <w:proofErr w:type="spellStart"/>
      <w:r>
        <w:rPr>
          <w:rFonts w:ascii="Times New Roman" w:hAnsi="Times New Roman"/>
          <w:sz w:val="24"/>
          <w:szCs w:val="24"/>
        </w:rPr>
        <w:t>Aldred</w:t>
      </w:r>
      <w:proofErr w:type="spellEnd"/>
      <w:r>
        <w:rPr>
          <w:rFonts w:ascii="Times New Roman" w:hAnsi="Times New Roman"/>
          <w:sz w:val="24"/>
          <w:szCs w:val="24"/>
        </w:rPr>
        <w:t xml:space="preserve"> S, </w:t>
      </w:r>
      <w:proofErr w:type="spellStart"/>
      <w:r>
        <w:rPr>
          <w:rFonts w:ascii="Times New Roman" w:hAnsi="Times New Roman"/>
          <w:sz w:val="24"/>
          <w:szCs w:val="24"/>
        </w:rPr>
        <w:t>Ramamoorthy</w:t>
      </w:r>
      <w:proofErr w:type="spellEnd"/>
      <w:r>
        <w:rPr>
          <w:rFonts w:ascii="Times New Roman" w:hAnsi="Times New Roman"/>
          <w:sz w:val="24"/>
          <w:szCs w:val="24"/>
        </w:rPr>
        <w:t xml:space="preserve"> A, </w:t>
      </w:r>
      <w:proofErr w:type="spellStart"/>
      <w:r>
        <w:rPr>
          <w:rFonts w:ascii="Times New Roman" w:hAnsi="Times New Roman"/>
          <w:sz w:val="24"/>
          <w:szCs w:val="24"/>
        </w:rPr>
        <w:t>Desta</w:t>
      </w:r>
      <w:proofErr w:type="spellEnd"/>
      <w:r>
        <w:rPr>
          <w:rFonts w:ascii="Times New Roman" w:hAnsi="Times New Roman"/>
          <w:sz w:val="24"/>
          <w:szCs w:val="24"/>
        </w:rPr>
        <w:t xml:space="preserve"> Z, Liu Y, </w:t>
      </w:r>
      <w:proofErr w:type="spellStart"/>
      <w:r>
        <w:rPr>
          <w:rFonts w:ascii="Times New Roman" w:hAnsi="Times New Roman"/>
          <w:sz w:val="24"/>
          <w:szCs w:val="24"/>
        </w:rPr>
        <w:t>Skaar</w:t>
      </w:r>
      <w:proofErr w:type="spellEnd"/>
      <w:r>
        <w:rPr>
          <w:rFonts w:ascii="Times New Roman" w:hAnsi="Times New Roman"/>
          <w:sz w:val="24"/>
          <w:szCs w:val="24"/>
        </w:rPr>
        <w:t xml:space="preserve"> TC, </w:t>
      </w:r>
      <w:proofErr w:type="spellStart"/>
      <w:r>
        <w:rPr>
          <w:rFonts w:ascii="Times New Roman" w:hAnsi="Times New Roman"/>
          <w:sz w:val="24"/>
          <w:szCs w:val="24"/>
        </w:rPr>
        <w:t>Trinklein</w:t>
      </w:r>
      <w:proofErr w:type="spellEnd"/>
      <w:r>
        <w:rPr>
          <w:rFonts w:ascii="Times New Roman" w:hAnsi="Times New Roman"/>
          <w:sz w:val="24"/>
          <w:szCs w:val="24"/>
        </w:rPr>
        <w:t xml:space="preserve"> ND, Giacomini </w:t>
      </w:r>
    </w:p>
    <w:p w:rsidR="0031374A" w:rsidRDefault="0031374A" w:rsidP="0031374A">
      <w:pPr>
        <w:pStyle w:val="PreformattedText"/>
      </w:pPr>
      <w:r>
        <w:rPr>
          <w:rFonts w:ascii="Times New Roman" w:hAnsi="Times New Roman"/>
          <w:sz w:val="24"/>
          <w:szCs w:val="24"/>
        </w:rPr>
        <w:t xml:space="preserve">KM, </w:t>
      </w:r>
      <w:proofErr w:type="spellStart"/>
      <w:r>
        <w:rPr>
          <w:rFonts w:ascii="Times New Roman" w:hAnsi="Times New Roman"/>
          <w:sz w:val="24"/>
          <w:szCs w:val="24"/>
        </w:rPr>
        <w:t>Ahituv</w:t>
      </w:r>
      <w:proofErr w:type="spellEnd"/>
      <w:r>
        <w:rPr>
          <w:rFonts w:ascii="Times New Roman" w:hAnsi="Times New Roman"/>
          <w:sz w:val="24"/>
          <w:szCs w:val="24"/>
        </w:rPr>
        <w:t xml:space="preserve"> N. Genome-wide discovery of drug-dependent human liver regulatory</w:t>
      </w:r>
    </w:p>
    <w:p w:rsidR="0031374A" w:rsidRDefault="0031374A" w:rsidP="0031374A">
      <w:pPr>
        <w:pStyle w:val="PreformattedText"/>
      </w:pPr>
      <w:r>
        <w:rPr>
          <w:rFonts w:ascii="Times New Roman" w:hAnsi="Times New Roman"/>
          <w:sz w:val="24"/>
          <w:szCs w:val="24"/>
        </w:rPr>
        <w:t xml:space="preserve">elements. </w:t>
      </w:r>
      <w:proofErr w:type="spellStart"/>
      <w:r w:rsidRPr="00265432">
        <w:rPr>
          <w:rFonts w:ascii="Times New Roman" w:hAnsi="Times New Roman"/>
          <w:i/>
          <w:sz w:val="24"/>
          <w:szCs w:val="24"/>
        </w:rPr>
        <w:t>PLoS</w:t>
      </w:r>
      <w:proofErr w:type="spellEnd"/>
      <w:r w:rsidRPr="00265432">
        <w:rPr>
          <w:rFonts w:ascii="Times New Roman" w:hAnsi="Times New Roman"/>
          <w:i/>
          <w:sz w:val="24"/>
          <w:szCs w:val="24"/>
        </w:rPr>
        <w:t xml:space="preserve"> Genet.</w:t>
      </w:r>
      <w:r>
        <w:rPr>
          <w:rFonts w:ascii="Times New Roman" w:hAnsi="Times New Roman"/>
          <w:sz w:val="24"/>
          <w:szCs w:val="24"/>
        </w:rPr>
        <w:t xml:space="preserve"> 2014 Oct 2;10(10):e1004648. </w:t>
      </w:r>
      <w:proofErr w:type="spellStart"/>
      <w:r>
        <w:rPr>
          <w:rFonts w:ascii="Times New Roman" w:hAnsi="Times New Roman"/>
          <w:sz w:val="24"/>
          <w:szCs w:val="24"/>
        </w:rPr>
        <w:t>Doi</w:t>
      </w:r>
      <w:proofErr w:type="spellEnd"/>
      <w:r>
        <w:rPr>
          <w:rFonts w:ascii="Times New Roman" w:hAnsi="Times New Roman"/>
          <w:sz w:val="24"/>
          <w:szCs w:val="24"/>
        </w:rPr>
        <w:t xml:space="preserve">: 10.1371/journal.pgen.1004648. </w:t>
      </w:r>
      <w:proofErr w:type="spellStart"/>
      <w:r>
        <w:rPr>
          <w:rFonts w:ascii="Times New Roman" w:hAnsi="Times New Roman"/>
          <w:sz w:val="24"/>
          <w:szCs w:val="24"/>
        </w:rPr>
        <w:t>eCollection</w:t>
      </w:r>
      <w:proofErr w:type="spellEnd"/>
      <w:r>
        <w:rPr>
          <w:rFonts w:ascii="Times New Roman" w:hAnsi="Times New Roman"/>
          <w:sz w:val="24"/>
          <w:szCs w:val="24"/>
        </w:rPr>
        <w:t xml:space="preserve"> 2014 Oct.</w:t>
      </w:r>
    </w:p>
    <w:p w:rsidR="0031374A" w:rsidRDefault="0031374A" w:rsidP="005C7015"/>
    <w:p w:rsidR="0031374A" w:rsidRDefault="0031374A" w:rsidP="0031374A">
      <w:pPr>
        <w:pStyle w:val="PreformattedText"/>
        <w:spacing w:after="283"/>
      </w:pPr>
    </w:p>
    <w:p w:rsidR="0031374A" w:rsidRDefault="0031374A" w:rsidP="0031374A">
      <w:pPr>
        <w:spacing w:after="283"/>
      </w:pPr>
    </w:p>
    <w:p w:rsidR="0031374A" w:rsidRDefault="0031374A" w:rsidP="005C7015"/>
    <w:p w:rsidR="0031374A" w:rsidRDefault="005C7015" w:rsidP="005C7015">
      <w:pPr>
        <w:pStyle w:val="Table"/>
      </w:pPr>
      <w:r>
        <w:t xml:space="preserve">Supplementary Table </w:t>
      </w:r>
      <w:r>
        <w:fldChar w:fldCharType="begin"/>
      </w:r>
      <w:r>
        <w:instrText>SEQ "Table" \*Arabic</w:instrText>
      </w:r>
      <w:r>
        <w:fldChar w:fldCharType="separate"/>
      </w:r>
      <w:r>
        <w:t>1</w:t>
      </w:r>
      <w:r>
        <w:fldChar w:fldCharType="end"/>
      </w:r>
    </w:p>
    <w:p w:rsidR="0031374A" w:rsidRDefault="0031374A" w:rsidP="005C7015"/>
    <w:tbl>
      <w:tblPr>
        <w:tblW w:w="11800" w:type="dxa"/>
        <w:tblInd w:w="93" w:type="dxa"/>
        <w:tblLook w:val="04A0" w:firstRow="1" w:lastRow="0" w:firstColumn="1" w:lastColumn="0" w:noHBand="0" w:noVBand="1"/>
      </w:tblPr>
      <w:tblGrid>
        <w:gridCol w:w="3772"/>
        <w:gridCol w:w="951"/>
        <w:gridCol w:w="1782"/>
        <w:gridCol w:w="817"/>
        <w:gridCol w:w="1180"/>
        <w:gridCol w:w="1180"/>
        <w:gridCol w:w="1100"/>
        <w:gridCol w:w="1080"/>
      </w:tblGrid>
      <w:tr w:rsidR="005C7015" w:rsidRPr="005C7015" w:rsidTr="005C7015">
        <w:trPr>
          <w:trHeight w:val="360"/>
        </w:trPr>
        <w:tc>
          <w:tcPr>
            <w:tcW w:w="7260" w:type="dxa"/>
            <w:gridSpan w:val="4"/>
            <w:tcBorders>
              <w:top w:val="nil"/>
              <w:left w:val="nil"/>
              <w:bottom w:val="nil"/>
              <w:right w:val="nil"/>
            </w:tcBorders>
            <w:shd w:val="clear" w:color="auto" w:fill="auto"/>
            <w:noWrap/>
            <w:vAlign w:val="bottom"/>
            <w:hideMark/>
          </w:tcPr>
          <w:p w:rsidR="005C7015" w:rsidRPr="005C7015" w:rsidRDefault="005C7015" w:rsidP="00B54643">
            <w:pPr>
              <w:widowControl/>
              <w:tabs>
                <w:tab w:val="clear" w:pos="709"/>
              </w:tabs>
              <w:suppressAutoHyphens w:val="0"/>
              <w:spacing w:after="0" w:line="240" w:lineRule="auto"/>
              <w:rPr>
                <w:rFonts w:ascii="Arial" w:eastAsia="Times New Roman" w:hAnsi="Arial" w:cs="Arial"/>
                <w:b/>
                <w:bCs/>
                <w:color w:val="000000"/>
                <w:sz w:val="28"/>
                <w:szCs w:val="28"/>
                <w:u w:val="single"/>
                <w:lang w:eastAsia="en-US" w:bidi="ar-SA"/>
              </w:rPr>
            </w:pPr>
            <w:r w:rsidRPr="005C7015">
              <w:rPr>
                <w:rFonts w:ascii="Arial" w:eastAsia="Times New Roman" w:hAnsi="Arial" w:cs="Arial"/>
                <w:b/>
                <w:bCs/>
                <w:color w:val="000000"/>
                <w:sz w:val="28"/>
                <w:szCs w:val="28"/>
                <w:u w:val="single"/>
                <w:lang w:eastAsia="en-US" w:bidi="ar-SA"/>
              </w:rPr>
              <w:t xml:space="preserve">Current contents of </w:t>
            </w:r>
            <w:proofErr w:type="spellStart"/>
            <w:r w:rsidRPr="005C7015">
              <w:rPr>
                <w:rFonts w:ascii="Arial" w:eastAsia="Times New Roman" w:hAnsi="Arial" w:cs="Arial"/>
                <w:b/>
                <w:bCs/>
                <w:color w:val="000000"/>
                <w:sz w:val="28"/>
                <w:szCs w:val="28"/>
                <w:u w:val="single"/>
                <w:lang w:eastAsia="en-US" w:bidi="ar-SA"/>
              </w:rPr>
              <w:t>ToxDB</w:t>
            </w:r>
            <w:proofErr w:type="spellEnd"/>
            <w:r w:rsidRPr="005C7015">
              <w:rPr>
                <w:rFonts w:ascii="Arial" w:eastAsia="Times New Roman" w:hAnsi="Arial" w:cs="Arial"/>
                <w:b/>
                <w:bCs/>
                <w:color w:val="000000"/>
                <w:sz w:val="28"/>
                <w:szCs w:val="28"/>
                <w:u w:val="single"/>
                <w:lang w:eastAsia="en-US" w:bidi="ar-SA"/>
              </w:rPr>
              <w:t xml:space="preserve"> – Release </w:t>
            </w:r>
            <w:r w:rsidR="00B54643">
              <w:rPr>
                <w:rFonts w:ascii="Arial" w:eastAsia="Times New Roman" w:hAnsi="Arial" w:cs="Arial"/>
                <w:b/>
                <w:bCs/>
                <w:color w:val="000000"/>
                <w:sz w:val="28"/>
                <w:szCs w:val="28"/>
                <w:u w:val="single"/>
                <w:lang w:eastAsia="en-US" w:bidi="ar-SA"/>
              </w:rPr>
              <w:t>0.9</w:t>
            </w:r>
            <w:r w:rsidRPr="005C7015">
              <w:rPr>
                <w:rFonts w:ascii="Arial" w:eastAsia="Times New Roman" w:hAnsi="Arial" w:cs="Arial"/>
                <w:b/>
                <w:bCs/>
                <w:color w:val="000000"/>
                <w:sz w:val="28"/>
                <w:szCs w:val="28"/>
                <w:u w:val="single"/>
                <w:lang w:eastAsia="en-US" w:bidi="ar-SA"/>
              </w:rPr>
              <w:t xml:space="preserve"> (</w:t>
            </w:r>
            <w:r w:rsidR="00B54643">
              <w:rPr>
                <w:rFonts w:ascii="Arial" w:eastAsia="Times New Roman" w:hAnsi="Arial" w:cs="Arial"/>
                <w:b/>
                <w:bCs/>
                <w:color w:val="000000"/>
                <w:sz w:val="28"/>
                <w:szCs w:val="28"/>
                <w:u w:val="single"/>
                <w:lang w:eastAsia="en-US" w:bidi="ar-SA"/>
              </w:rPr>
              <w:t>Dec</w:t>
            </w:r>
            <w:r w:rsidRPr="005C7015">
              <w:rPr>
                <w:rFonts w:ascii="Arial" w:eastAsia="Times New Roman" w:hAnsi="Arial" w:cs="Arial"/>
                <w:b/>
                <w:bCs/>
                <w:color w:val="000000"/>
                <w:sz w:val="28"/>
                <w:szCs w:val="28"/>
                <w:u w:val="single"/>
                <w:lang w:eastAsia="en-US" w:bidi="ar-SA"/>
              </w:rPr>
              <w:t>. 2015)</w:t>
            </w: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b/>
                <w:bCs/>
                <w:color w:val="000000"/>
                <w:sz w:val="28"/>
                <w:szCs w:val="28"/>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0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0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r>
      <w:tr w:rsidR="005C7015" w:rsidRPr="005C7015" w:rsidTr="005C7015">
        <w:trPr>
          <w:trHeight w:val="285"/>
        </w:trPr>
        <w:tc>
          <w:tcPr>
            <w:tcW w:w="3772"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935"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782"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771"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0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0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r>
      <w:tr w:rsidR="005C7015" w:rsidRPr="005C7015" w:rsidTr="005C7015">
        <w:trPr>
          <w:trHeight w:val="315"/>
        </w:trPr>
        <w:tc>
          <w:tcPr>
            <w:tcW w:w="3772" w:type="dxa"/>
            <w:tcBorders>
              <w:top w:val="single" w:sz="4" w:space="0" w:color="000000"/>
              <w:left w:val="single" w:sz="4" w:space="0" w:color="000000"/>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lang w:eastAsia="en-US" w:bidi="ar-SA"/>
              </w:rPr>
            </w:pPr>
            <w:r w:rsidRPr="005C7015">
              <w:rPr>
                <w:rFonts w:ascii="Arial" w:eastAsia="Times New Roman" w:hAnsi="Arial" w:cs="Arial"/>
                <w:color w:val="000000"/>
                <w:lang w:eastAsia="en-US" w:bidi="ar-SA"/>
              </w:rPr>
              <w:t># pathway source databases</w:t>
            </w:r>
          </w:p>
        </w:tc>
        <w:tc>
          <w:tcPr>
            <w:tcW w:w="935" w:type="dxa"/>
            <w:tcBorders>
              <w:top w:val="single" w:sz="4" w:space="0" w:color="000000"/>
              <w:left w:val="nil"/>
              <w:bottom w:val="nil"/>
              <w:right w:val="single" w:sz="4" w:space="0" w:color="000000"/>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jc w:val="right"/>
              <w:rPr>
                <w:rFonts w:ascii="Arial" w:eastAsia="Times New Roman" w:hAnsi="Arial" w:cs="Arial"/>
                <w:b/>
                <w:bCs/>
                <w:color w:val="000000"/>
                <w:lang w:eastAsia="en-US" w:bidi="ar-SA"/>
              </w:rPr>
            </w:pPr>
            <w:r w:rsidRPr="005C7015">
              <w:rPr>
                <w:rFonts w:ascii="Arial" w:eastAsia="Times New Roman" w:hAnsi="Arial" w:cs="Arial"/>
                <w:b/>
                <w:bCs/>
                <w:color w:val="000000"/>
                <w:lang w:eastAsia="en-US" w:bidi="ar-SA"/>
              </w:rPr>
              <w:t>12</w:t>
            </w:r>
          </w:p>
        </w:tc>
        <w:tc>
          <w:tcPr>
            <w:tcW w:w="1782" w:type="dxa"/>
            <w:tcBorders>
              <w:top w:val="single" w:sz="4" w:space="0" w:color="000000"/>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lang w:eastAsia="en-US" w:bidi="ar-SA"/>
              </w:rPr>
            </w:pPr>
            <w:r w:rsidRPr="005C7015">
              <w:rPr>
                <w:rFonts w:ascii="Arial" w:eastAsia="Times New Roman" w:hAnsi="Arial" w:cs="Arial"/>
                <w:color w:val="000000"/>
                <w:lang w:eastAsia="en-US" w:bidi="ar-SA"/>
              </w:rPr>
              <w:t># studies</w:t>
            </w:r>
          </w:p>
        </w:tc>
        <w:tc>
          <w:tcPr>
            <w:tcW w:w="771" w:type="dxa"/>
            <w:tcBorders>
              <w:top w:val="single" w:sz="4" w:space="0" w:color="000000"/>
              <w:left w:val="nil"/>
              <w:bottom w:val="nil"/>
              <w:right w:val="single" w:sz="4" w:space="0" w:color="000000"/>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jc w:val="right"/>
              <w:rPr>
                <w:rFonts w:ascii="Arial" w:eastAsia="Times New Roman" w:hAnsi="Arial" w:cs="Arial"/>
                <w:b/>
                <w:bCs/>
                <w:color w:val="000000"/>
                <w:lang w:eastAsia="en-US" w:bidi="ar-SA"/>
              </w:rPr>
            </w:pPr>
            <w:r w:rsidRPr="005C7015">
              <w:rPr>
                <w:rFonts w:ascii="Arial" w:eastAsia="Times New Roman" w:hAnsi="Arial" w:cs="Arial"/>
                <w:b/>
                <w:bCs/>
                <w:color w:val="000000"/>
                <w:lang w:eastAsia="en-US" w:bidi="ar-SA"/>
              </w:rPr>
              <w:t>2</w:t>
            </w: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b/>
                <w:bCs/>
                <w:color w:val="000000"/>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b/>
                <w:bCs/>
                <w:color w:val="000000"/>
                <w:lang w:eastAsia="en-US" w:bidi="ar-SA"/>
              </w:rPr>
            </w:pPr>
          </w:p>
        </w:tc>
        <w:tc>
          <w:tcPr>
            <w:tcW w:w="110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0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r>
      <w:tr w:rsidR="005C7015" w:rsidRPr="005C7015" w:rsidTr="005C7015">
        <w:trPr>
          <w:trHeight w:val="315"/>
        </w:trPr>
        <w:tc>
          <w:tcPr>
            <w:tcW w:w="3772" w:type="dxa"/>
            <w:tcBorders>
              <w:top w:val="nil"/>
              <w:left w:val="single" w:sz="4" w:space="0" w:color="000000"/>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lang w:eastAsia="en-US" w:bidi="ar-SA"/>
              </w:rPr>
            </w:pPr>
            <w:r w:rsidRPr="005C7015">
              <w:rPr>
                <w:rFonts w:ascii="Arial" w:eastAsia="Times New Roman" w:hAnsi="Arial" w:cs="Arial"/>
                <w:color w:val="000000"/>
                <w:lang w:eastAsia="en-US" w:bidi="ar-SA"/>
              </w:rPr>
              <w:t># pathways</w:t>
            </w:r>
          </w:p>
        </w:tc>
        <w:tc>
          <w:tcPr>
            <w:tcW w:w="935" w:type="dxa"/>
            <w:tcBorders>
              <w:top w:val="nil"/>
              <w:left w:val="nil"/>
              <w:bottom w:val="nil"/>
              <w:right w:val="single" w:sz="4" w:space="0" w:color="000000"/>
            </w:tcBorders>
            <w:shd w:val="clear" w:color="auto" w:fill="auto"/>
            <w:noWrap/>
            <w:vAlign w:val="bottom"/>
            <w:hideMark/>
          </w:tcPr>
          <w:p w:rsidR="005C7015" w:rsidRPr="005C7015" w:rsidRDefault="00B54643" w:rsidP="00B54643">
            <w:pPr>
              <w:widowControl/>
              <w:tabs>
                <w:tab w:val="clear" w:pos="709"/>
              </w:tabs>
              <w:suppressAutoHyphens w:val="0"/>
              <w:spacing w:after="0" w:line="240" w:lineRule="auto"/>
              <w:jc w:val="right"/>
              <w:rPr>
                <w:rFonts w:ascii="Arial" w:eastAsia="Times New Roman" w:hAnsi="Arial" w:cs="Arial"/>
                <w:b/>
                <w:bCs/>
                <w:color w:val="000000"/>
                <w:lang w:eastAsia="en-US" w:bidi="ar-SA"/>
              </w:rPr>
            </w:pPr>
            <w:r>
              <w:rPr>
                <w:rFonts w:ascii="Arial" w:eastAsia="Times New Roman" w:hAnsi="Arial" w:cs="Arial"/>
                <w:b/>
                <w:bCs/>
                <w:color w:val="000000"/>
                <w:lang w:eastAsia="en-US" w:bidi="ar-SA"/>
              </w:rPr>
              <w:t>4,593</w:t>
            </w:r>
          </w:p>
        </w:tc>
        <w:tc>
          <w:tcPr>
            <w:tcW w:w="1782"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lang w:eastAsia="en-US" w:bidi="ar-SA"/>
              </w:rPr>
            </w:pPr>
            <w:r w:rsidRPr="005C7015">
              <w:rPr>
                <w:rFonts w:ascii="Arial" w:eastAsia="Times New Roman" w:hAnsi="Arial" w:cs="Arial"/>
                <w:color w:val="000000"/>
                <w:lang w:eastAsia="en-US" w:bidi="ar-SA"/>
              </w:rPr>
              <w:t># cell types</w:t>
            </w:r>
          </w:p>
        </w:tc>
        <w:tc>
          <w:tcPr>
            <w:tcW w:w="771" w:type="dxa"/>
            <w:tcBorders>
              <w:top w:val="nil"/>
              <w:left w:val="nil"/>
              <w:bottom w:val="nil"/>
              <w:right w:val="single" w:sz="4" w:space="0" w:color="000000"/>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jc w:val="right"/>
              <w:rPr>
                <w:rFonts w:ascii="Arial" w:eastAsia="Times New Roman" w:hAnsi="Arial" w:cs="Arial"/>
                <w:b/>
                <w:bCs/>
                <w:color w:val="000000"/>
                <w:lang w:eastAsia="en-US" w:bidi="ar-SA"/>
              </w:rPr>
            </w:pPr>
            <w:r w:rsidRPr="005C7015">
              <w:rPr>
                <w:rFonts w:ascii="Arial" w:eastAsia="Times New Roman" w:hAnsi="Arial" w:cs="Arial"/>
                <w:b/>
                <w:bCs/>
                <w:color w:val="000000"/>
                <w:lang w:eastAsia="en-US" w:bidi="ar-SA"/>
              </w:rPr>
              <w:t>11</w:t>
            </w: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b/>
                <w:bCs/>
                <w:color w:val="000000"/>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b/>
                <w:bCs/>
                <w:color w:val="000000"/>
                <w:lang w:eastAsia="en-US" w:bidi="ar-SA"/>
              </w:rPr>
            </w:pPr>
          </w:p>
        </w:tc>
        <w:tc>
          <w:tcPr>
            <w:tcW w:w="110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0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r>
      <w:tr w:rsidR="005C7015" w:rsidRPr="005C7015" w:rsidTr="005C7015">
        <w:trPr>
          <w:trHeight w:val="315"/>
        </w:trPr>
        <w:tc>
          <w:tcPr>
            <w:tcW w:w="3772" w:type="dxa"/>
            <w:tcBorders>
              <w:top w:val="nil"/>
              <w:left w:val="single" w:sz="4" w:space="0" w:color="000000"/>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lang w:eastAsia="en-US" w:bidi="ar-SA"/>
              </w:rPr>
            </w:pPr>
            <w:r w:rsidRPr="005C7015">
              <w:rPr>
                <w:rFonts w:ascii="Arial" w:eastAsia="Times New Roman" w:hAnsi="Arial" w:cs="Arial"/>
                <w:color w:val="000000"/>
                <w:lang w:eastAsia="en-US" w:bidi="ar-SA"/>
              </w:rPr>
              <w:t xml:space="preserve">           of which have scores</w:t>
            </w:r>
          </w:p>
        </w:tc>
        <w:tc>
          <w:tcPr>
            <w:tcW w:w="935" w:type="dxa"/>
            <w:tcBorders>
              <w:top w:val="nil"/>
              <w:left w:val="nil"/>
              <w:bottom w:val="nil"/>
              <w:right w:val="single" w:sz="4" w:space="0" w:color="000000"/>
            </w:tcBorders>
            <w:shd w:val="clear" w:color="auto" w:fill="auto"/>
            <w:noWrap/>
            <w:vAlign w:val="bottom"/>
            <w:hideMark/>
          </w:tcPr>
          <w:p w:rsidR="005C7015" w:rsidRPr="005C7015" w:rsidRDefault="005C7015" w:rsidP="00B54643">
            <w:pPr>
              <w:widowControl/>
              <w:tabs>
                <w:tab w:val="clear" w:pos="709"/>
              </w:tabs>
              <w:suppressAutoHyphens w:val="0"/>
              <w:spacing w:after="0" w:line="240" w:lineRule="auto"/>
              <w:jc w:val="right"/>
              <w:rPr>
                <w:rFonts w:ascii="Arial" w:eastAsia="Times New Roman" w:hAnsi="Arial" w:cs="Arial"/>
                <w:b/>
                <w:bCs/>
                <w:color w:val="000000"/>
                <w:lang w:eastAsia="en-US" w:bidi="ar-SA"/>
              </w:rPr>
            </w:pPr>
            <w:r w:rsidRPr="005C7015">
              <w:rPr>
                <w:rFonts w:ascii="Arial" w:eastAsia="Times New Roman" w:hAnsi="Arial" w:cs="Arial"/>
                <w:b/>
                <w:bCs/>
                <w:color w:val="000000"/>
                <w:lang w:eastAsia="en-US" w:bidi="ar-SA"/>
              </w:rPr>
              <w:t>2,</w:t>
            </w:r>
            <w:r w:rsidR="00B54643">
              <w:rPr>
                <w:rFonts w:ascii="Arial" w:eastAsia="Times New Roman" w:hAnsi="Arial" w:cs="Arial"/>
                <w:b/>
                <w:bCs/>
                <w:color w:val="000000"/>
                <w:lang w:eastAsia="en-US" w:bidi="ar-SA"/>
              </w:rPr>
              <w:t>694</w:t>
            </w:r>
          </w:p>
        </w:tc>
        <w:tc>
          <w:tcPr>
            <w:tcW w:w="1782"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lang w:eastAsia="en-US" w:bidi="ar-SA"/>
              </w:rPr>
            </w:pPr>
            <w:r w:rsidRPr="005C7015">
              <w:rPr>
                <w:rFonts w:ascii="Arial" w:eastAsia="Times New Roman" w:hAnsi="Arial" w:cs="Arial"/>
                <w:color w:val="000000"/>
                <w:lang w:eastAsia="en-US" w:bidi="ar-SA"/>
              </w:rPr>
              <w:t># drugs</w:t>
            </w:r>
          </w:p>
        </w:tc>
        <w:tc>
          <w:tcPr>
            <w:tcW w:w="771" w:type="dxa"/>
            <w:tcBorders>
              <w:top w:val="nil"/>
              <w:left w:val="nil"/>
              <w:bottom w:val="nil"/>
              <w:right w:val="single" w:sz="4" w:space="0" w:color="000000"/>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jc w:val="right"/>
              <w:rPr>
                <w:rFonts w:ascii="Arial" w:eastAsia="Times New Roman" w:hAnsi="Arial" w:cs="Arial"/>
                <w:b/>
                <w:bCs/>
                <w:color w:val="000000"/>
                <w:lang w:eastAsia="en-US" w:bidi="ar-SA"/>
              </w:rPr>
            </w:pPr>
            <w:r w:rsidRPr="005C7015">
              <w:rPr>
                <w:rFonts w:ascii="Arial" w:eastAsia="Times New Roman" w:hAnsi="Arial" w:cs="Arial"/>
                <w:b/>
                <w:bCs/>
                <w:color w:val="000000"/>
                <w:lang w:eastAsia="en-US" w:bidi="ar-SA"/>
              </w:rPr>
              <w:t>437</w:t>
            </w: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b/>
                <w:bCs/>
                <w:color w:val="000000"/>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b/>
                <w:bCs/>
                <w:color w:val="000000"/>
                <w:lang w:eastAsia="en-US" w:bidi="ar-SA"/>
              </w:rPr>
            </w:pPr>
          </w:p>
        </w:tc>
        <w:tc>
          <w:tcPr>
            <w:tcW w:w="110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0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r>
      <w:tr w:rsidR="005C7015" w:rsidRPr="005C7015" w:rsidTr="005C7015">
        <w:trPr>
          <w:trHeight w:val="315"/>
        </w:trPr>
        <w:tc>
          <w:tcPr>
            <w:tcW w:w="3772" w:type="dxa"/>
            <w:tcBorders>
              <w:top w:val="nil"/>
              <w:left w:val="single" w:sz="4" w:space="0" w:color="000000"/>
              <w:bottom w:val="single" w:sz="4" w:space="0" w:color="000000"/>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lang w:eastAsia="en-US" w:bidi="ar-SA"/>
              </w:rPr>
            </w:pPr>
            <w:r w:rsidRPr="005C7015">
              <w:rPr>
                <w:rFonts w:ascii="Arial" w:eastAsia="Times New Roman" w:hAnsi="Arial" w:cs="Arial"/>
                <w:color w:val="000000"/>
                <w:lang w:eastAsia="en-US" w:bidi="ar-SA"/>
              </w:rPr>
              <w:t># human genes with scores</w:t>
            </w:r>
          </w:p>
        </w:tc>
        <w:tc>
          <w:tcPr>
            <w:tcW w:w="935" w:type="dxa"/>
            <w:tcBorders>
              <w:top w:val="nil"/>
              <w:left w:val="nil"/>
              <w:bottom w:val="single" w:sz="4" w:space="0" w:color="000000"/>
              <w:right w:val="single" w:sz="4" w:space="0" w:color="000000"/>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jc w:val="right"/>
              <w:rPr>
                <w:rFonts w:ascii="Arial" w:eastAsia="Times New Roman" w:hAnsi="Arial" w:cs="Arial"/>
                <w:b/>
                <w:bCs/>
                <w:color w:val="000000"/>
                <w:lang w:eastAsia="en-US" w:bidi="ar-SA"/>
              </w:rPr>
            </w:pPr>
            <w:r w:rsidRPr="005C7015">
              <w:rPr>
                <w:rFonts w:ascii="Arial" w:eastAsia="Times New Roman" w:hAnsi="Arial" w:cs="Arial"/>
                <w:b/>
                <w:bCs/>
                <w:color w:val="000000"/>
                <w:lang w:eastAsia="en-US" w:bidi="ar-SA"/>
              </w:rPr>
              <w:t>18,374</w:t>
            </w:r>
          </w:p>
        </w:tc>
        <w:tc>
          <w:tcPr>
            <w:tcW w:w="1782" w:type="dxa"/>
            <w:tcBorders>
              <w:top w:val="nil"/>
              <w:left w:val="nil"/>
              <w:bottom w:val="single" w:sz="4" w:space="0" w:color="000000"/>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lang w:eastAsia="en-US" w:bidi="ar-SA"/>
              </w:rPr>
            </w:pPr>
            <w:r w:rsidRPr="005C7015">
              <w:rPr>
                <w:rFonts w:ascii="Arial" w:eastAsia="Times New Roman" w:hAnsi="Arial" w:cs="Arial"/>
                <w:color w:val="000000"/>
                <w:lang w:eastAsia="en-US" w:bidi="ar-SA"/>
              </w:rPr>
              <w:t># treatments*</w:t>
            </w:r>
          </w:p>
        </w:tc>
        <w:tc>
          <w:tcPr>
            <w:tcW w:w="771" w:type="dxa"/>
            <w:tcBorders>
              <w:top w:val="nil"/>
              <w:left w:val="nil"/>
              <w:bottom w:val="single" w:sz="4" w:space="0" w:color="000000"/>
              <w:right w:val="single" w:sz="4" w:space="0" w:color="000000"/>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jc w:val="right"/>
              <w:rPr>
                <w:rFonts w:ascii="Arial" w:eastAsia="Times New Roman" w:hAnsi="Arial" w:cs="Arial"/>
                <w:b/>
                <w:bCs/>
                <w:color w:val="000000"/>
                <w:lang w:eastAsia="en-US" w:bidi="ar-SA"/>
              </w:rPr>
            </w:pPr>
            <w:r w:rsidRPr="005C7015">
              <w:rPr>
                <w:rFonts w:ascii="Arial" w:eastAsia="Times New Roman" w:hAnsi="Arial" w:cs="Arial"/>
                <w:b/>
                <w:bCs/>
                <w:color w:val="000000"/>
                <w:lang w:eastAsia="en-US" w:bidi="ar-SA"/>
              </w:rPr>
              <w:t>7,464</w:t>
            </w: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b/>
                <w:bCs/>
                <w:color w:val="000000"/>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b/>
                <w:bCs/>
                <w:color w:val="000000"/>
                <w:lang w:eastAsia="en-US" w:bidi="ar-SA"/>
              </w:rPr>
            </w:pPr>
          </w:p>
        </w:tc>
        <w:tc>
          <w:tcPr>
            <w:tcW w:w="110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0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r>
      <w:tr w:rsidR="005C7015" w:rsidRPr="005C7015" w:rsidTr="005C7015">
        <w:trPr>
          <w:trHeight w:val="244"/>
        </w:trPr>
        <w:tc>
          <w:tcPr>
            <w:tcW w:w="3772"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935"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782"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771"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0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0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r>
      <w:tr w:rsidR="005C7015" w:rsidRPr="005C7015" w:rsidTr="005C7015">
        <w:trPr>
          <w:trHeight w:val="244"/>
        </w:trPr>
        <w:tc>
          <w:tcPr>
            <w:tcW w:w="3772"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935"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782"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771"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10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c>
          <w:tcPr>
            <w:tcW w:w="1080" w:type="dxa"/>
            <w:tcBorders>
              <w:top w:val="nil"/>
              <w:left w:val="nil"/>
              <w:bottom w:val="nil"/>
              <w:right w:val="nil"/>
            </w:tcBorders>
            <w:shd w:val="clear" w:color="auto" w:fill="auto"/>
            <w:noWrap/>
            <w:vAlign w:val="bottom"/>
            <w:hideMark/>
          </w:tcPr>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p>
        </w:tc>
      </w:tr>
      <w:tr w:rsidR="005C7015" w:rsidRPr="005C7015" w:rsidTr="005C7015">
        <w:trPr>
          <w:trHeight w:val="285"/>
        </w:trPr>
        <w:tc>
          <w:tcPr>
            <w:tcW w:w="11800" w:type="dxa"/>
            <w:gridSpan w:val="8"/>
            <w:tcBorders>
              <w:top w:val="nil"/>
              <w:left w:val="nil"/>
              <w:bottom w:val="nil"/>
              <w:right w:val="nil"/>
            </w:tcBorders>
            <w:shd w:val="clear" w:color="auto" w:fill="auto"/>
            <w:noWrap/>
            <w:vAlign w:val="bottom"/>
            <w:hideMark/>
          </w:tcPr>
          <w:p w:rsid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r w:rsidRPr="005C7015">
              <w:rPr>
                <w:rFonts w:ascii="Arial" w:eastAsia="Times New Roman" w:hAnsi="Arial" w:cs="Arial"/>
                <w:color w:val="000000"/>
                <w:sz w:val="22"/>
                <w:szCs w:val="22"/>
                <w:lang w:eastAsia="en-US" w:bidi="ar-SA"/>
              </w:rPr>
              <w:t>* a single treatment consists of a study, a cell type, the applied drug, its dosage, and</w:t>
            </w:r>
          </w:p>
          <w:p w:rsidR="005C7015" w:rsidRPr="005C7015" w:rsidRDefault="005C7015" w:rsidP="005C7015">
            <w:pPr>
              <w:widowControl/>
              <w:tabs>
                <w:tab w:val="clear" w:pos="709"/>
              </w:tabs>
              <w:suppressAutoHyphens w:val="0"/>
              <w:spacing w:after="0" w:line="240" w:lineRule="auto"/>
              <w:rPr>
                <w:rFonts w:ascii="Arial" w:eastAsia="Times New Roman" w:hAnsi="Arial" w:cs="Arial"/>
                <w:color w:val="000000"/>
                <w:sz w:val="22"/>
                <w:szCs w:val="22"/>
                <w:lang w:eastAsia="en-US" w:bidi="ar-SA"/>
              </w:rPr>
            </w:pPr>
            <w:r w:rsidRPr="005C7015">
              <w:rPr>
                <w:rFonts w:ascii="Arial" w:eastAsia="Times New Roman" w:hAnsi="Arial" w:cs="Arial"/>
                <w:color w:val="000000"/>
                <w:sz w:val="22"/>
                <w:szCs w:val="22"/>
                <w:lang w:eastAsia="en-US" w:bidi="ar-SA"/>
              </w:rPr>
              <w:t xml:space="preserve"> the time point of measurement</w:t>
            </w:r>
          </w:p>
        </w:tc>
      </w:tr>
    </w:tbl>
    <w:p w:rsidR="0085636D" w:rsidRDefault="0085636D">
      <w:pPr>
        <w:pStyle w:val="Table"/>
      </w:pPr>
    </w:p>
    <w:sectPr w:rsidR="0085636D">
      <w:footerReference w:type="default" r:id="rId21"/>
      <w:pgSz w:w="11906" w:h="16838"/>
      <w:pgMar w:top="1134" w:right="1134" w:bottom="1693" w:left="1134" w:header="0" w:footer="1134" w:gutter="0"/>
      <w:cols w:space="720"/>
      <w:formProt w:val="0"/>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1A2" w:rsidRDefault="009331A2">
      <w:pPr>
        <w:spacing w:after="0" w:line="240" w:lineRule="auto"/>
      </w:pPr>
      <w:r>
        <w:separator/>
      </w:r>
    </w:p>
  </w:endnote>
  <w:endnote w:type="continuationSeparator" w:id="0">
    <w:p w:rsidR="009331A2" w:rsidRDefault="0093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Droid Sans">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20000A87" w:usb1="00000000" w:usb2="00000000" w:usb3="00000000" w:csb0="000001BF" w:csb1="00000000"/>
  </w:font>
  <w:font w:name="DejaVu Sans Mono">
    <w:altName w:val="Arial"/>
    <w:charset w:val="00"/>
    <w:family w:val="modern"/>
    <w:pitch w:val="fixed"/>
    <w:sig w:usb0="00000000" w:usb1="D000F1FB" w:usb2="00000028" w:usb3="00000000" w:csb0="000001D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6D" w:rsidRDefault="003C297E">
    <w:pPr>
      <w:pStyle w:val="Footer"/>
      <w:jc w:val="center"/>
    </w:pPr>
    <w:r>
      <w:fldChar w:fldCharType="begin"/>
    </w:r>
    <w:r>
      <w:instrText>PAGE</w:instrText>
    </w:r>
    <w:r>
      <w:fldChar w:fldCharType="separate"/>
    </w:r>
    <w:r w:rsidR="00A15420">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6D" w:rsidRDefault="003C297E">
    <w:pPr>
      <w:pStyle w:val="Footer"/>
      <w:jc w:val="center"/>
    </w:pPr>
    <w:r>
      <w:fldChar w:fldCharType="begin"/>
    </w:r>
    <w:r>
      <w:instrText>PAGE</w:instrText>
    </w:r>
    <w:r>
      <w:fldChar w:fldCharType="separate"/>
    </w:r>
    <w:r w:rsidR="00072001">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1A2" w:rsidRDefault="009331A2">
      <w:r>
        <w:separator/>
      </w:r>
    </w:p>
  </w:footnote>
  <w:footnote w:type="continuationSeparator" w:id="0">
    <w:p w:rsidR="009331A2" w:rsidRDefault="009331A2">
      <w:r>
        <w:continuationSeparator/>
      </w:r>
    </w:p>
  </w:footnote>
  <w:footnote w:id="1">
    <w:p w:rsidR="0085636D" w:rsidRDefault="003C297E">
      <w:pPr>
        <w:pStyle w:val="Footnote"/>
      </w:pPr>
      <w:r>
        <w:footnoteRef/>
      </w:r>
      <w:r>
        <w:tab/>
      </w:r>
      <w:r>
        <w:tab/>
      </w:r>
      <w:r>
        <w:tab/>
        <w:t>http://toxico.nibio.go.jp</w:t>
      </w:r>
    </w:p>
  </w:footnote>
  <w:footnote w:id="2">
    <w:p w:rsidR="0085636D" w:rsidRDefault="003C297E">
      <w:pPr>
        <w:pStyle w:val="Footnote"/>
      </w:pPr>
      <w:r>
        <w:footnoteRef/>
      </w:r>
      <w:r>
        <w:tab/>
      </w:r>
      <w:r>
        <w:tab/>
      </w:r>
      <w:r>
        <w:tab/>
        <w:t>https://ntp.niehs.nih.gov/drugmatrix/index.html</w:t>
      </w:r>
    </w:p>
  </w:footnote>
  <w:footnote w:id="3">
    <w:p w:rsidR="0085636D" w:rsidRDefault="003C297E">
      <w:pPr>
        <w:pStyle w:val="Footnote"/>
      </w:pPr>
      <w:r>
        <w:footnoteRef/>
      </w:r>
      <w:r>
        <w:tab/>
      </w:r>
      <w:r>
        <w:tab/>
      </w:r>
      <w:r>
        <w:tab/>
        <w:t>http://www.genome.jp/kegg/</w:t>
      </w:r>
    </w:p>
  </w:footnote>
  <w:footnote w:id="4">
    <w:p w:rsidR="0085636D" w:rsidRDefault="003C297E">
      <w:pPr>
        <w:pStyle w:val="Footnote"/>
      </w:pPr>
      <w:r>
        <w:footnoteRef/>
      </w:r>
      <w:r>
        <w:tab/>
      </w:r>
      <w:r>
        <w:tab/>
      </w:r>
      <w:r>
        <w:tab/>
        <w:t>http://www.drugbank.ca/</w:t>
      </w:r>
    </w:p>
  </w:footnote>
  <w:footnote w:id="5">
    <w:p w:rsidR="0085636D" w:rsidRDefault="003C297E">
      <w:pPr>
        <w:pStyle w:val="Footnote"/>
      </w:pPr>
      <w:r>
        <w:footnoteRef/>
      </w:r>
      <w:r>
        <w:tab/>
      </w:r>
      <w:r>
        <w:tab/>
      </w:r>
      <w:r>
        <w:tab/>
        <w:t>https://www.ebi.ac.uk/chembl/</w:t>
      </w:r>
    </w:p>
  </w:footnote>
  <w:footnote w:id="6">
    <w:p w:rsidR="0085636D" w:rsidRDefault="003C297E">
      <w:pPr>
        <w:pStyle w:val="Footnote"/>
      </w:pPr>
      <w:r>
        <w:footnoteRef/>
      </w:r>
      <w:r>
        <w:tab/>
      </w:r>
      <w:r>
        <w:tab/>
        <w:t>No academic reference present, evidence based on: http://dailymed.nlm.nih.gov/dailymed/drugInfo.cfm?setid=367b47d7-c4de-4b39-bd3a-69c29d80396f</w:t>
      </w:r>
    </w:p>
  </w:footnote>
  <w:footnote w:id="7">
    <w:p w:rsidR="0085636D" w:rsidRDefault="003C297E">
      <w:pPr>
        <w:pStyle w:val="Footnote"/>
      </w:pPr>
      <w:r>
        <w:footnoteRef/>
      </w:r>
      <w:r>
        <w:tab/>
      </w:r>
      <w:r>
        <w:tab/>
        <w:t xml:space="preserve">The given </w:t>
      </w:r>
      <w:proofErr w:type="spellStart"/>
      <w:r>
        <w:t>DailyMed</w:t>
      </w:r>
      <w:proofErr w:type="spellEnd"/>
      <w:r>
        <w:t xml:space="preserve"> URL: http://dailymed.nlm.nih.gov/dailymed/lookup.cfm?setid=5594d16e-72bf-4354-925e-c7591737ff1c does not exist.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5937"/>
    <w:multiLevelType w:val="multilevel"/>
    <w:tmpl w:val="D3B203C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8F256E5"/>
    <w:multiLevelType w:val="hybridMultilevel"/>
    <w:tmpl w:val="9F74B8B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21F6C75"/>
    <w:multiLevelType w:val="multilevel"/>
    <w:tmpl w:val="409E38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nsid w:val="3E9B7B18"/>
    <w:multiLevelType w:val="multilevel"/>
    <w:tmpl w:val="15CEEEC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464167D3"/>
    <w:multiLevelType w:val="multilevel"/>
    <w:tmpl w:val="9582495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52A1403F"/>
    <w:multiLevelType w:val="multilevel"/>
    <w:tmpl w:val="F800DB6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981B1A"/>
    <w:multiLevelType w:val="multilevel"/>
    <w:tmpl w:val="FA6E09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73F12949"/>
    <w:multiLevelType w:val="multilevel"/>
    <w:tmpl w:val="35BE02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7BBC280A"/>
    <w:multiLevelType w:val="multilevel"/>
    <w:tmpl w:val="829E4B7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7C191C4F"/>
    <w:multiLevelType w:val="multilevel"/>
    <w:tmpl w:val="6784CC50"/>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0"/>
  </w:num>
  <w:num w:numId="2">
    <w:abstractNumId w:val="5"/>
  </w:num>
  <w:num w:numId="3">
    <w:abstractNumId w:val="2"/>
  </w:num>
  <w:num w:numId="4">
    <w:abstractNumId w:val="9"/>
  </w:num>
  <w:num w:numId="5">
    <w:abstractNumId w:val="4"/>
  </w:num>
  <w:num w:numId="6">
    <w:abstractNumId w:val="7"/>
  </w:num>
  <w:num w:numId="7">
    <w:abstractNumId w:val="8"/>
  </w:num>
  <w:num w:numId="8">
    <w:abstractNumId w:val="3"/>
  </w:num>
  <w:num w:numId="9">
    <w:abstractNumId w:val="0"/>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36D"/>
    <w:rsid w:val="00047943"/>
    <w:rsid w:val="00072001"/>
    <w:rsid w:val="000C7554"/>
    <w:rsid w:val="000F45B8"/>
    <w:rsid w:val="001B7622"/>
    <w:rsid w:val="001C485B"/>
    <w:rsid w:val="00213801"/>
    <w:rsid w:val="00220911"/>
    <w:rsid w:val="00236C9D"/>
    <w:rsid w:val="00265432"/>
    <w:rsid w:val="002D1A68"/>
    <w:rsid w:val="002D6DF8"/>
    <w:rsid w:val="0031374A"/>
    <w:rsid w:val="003C297E"/>
    <w:rsid w:val="003C69C2"/>
    <w:rsid w:val="004D49FE"/>
    <w:rsid w:val="00540D65"/>
    <w:rsid w:val="005467C9"/>
    <w:rsid w:val="0055701B"/>
    <w:rsid w:val="005979E5"/>
    <w:rsid w:val="005A0A28"/>
    <w:rsid w:val="005C7015"/>
    <w:rsid w:val="005E4D8F"/>
    <w:rsid w:val="005F2E0D"/>
    <w:rsid w:val="005F71C8"/>
    <w:rsid w:val="00694E92"/>
    <w:rsid w:val="006B14C9"/>
    <w:rsid w:val="0085636D"/>
    <w:rsid w:val="0089354D"/>
    <w:rsid w:val="008D62AB"/>
    <w:rsid w:val="008E3BB5"/>
    <w:rsid w:val="008F566E"/>
    <w:rsid w:val="009331A2"/>
    <w:rsid w:val="00981CC1"/>
    <w:rsid w:val="00995F54"/>
    <w:rsid w:val="009D5C95"/>
    <w:rsid w:val="009E5050"/>
    <w:rsid w:val="00A02E82"/>
    <w:rsid w:val="00A056C5"/>
    <w:rsid w:val="00A15420"/>
    <w:rsid w:val="00A32AE4"/>
    <w:rsid w:val="00AA3ED0"/>
    <w:rsid w:val="00B10E96"/>
    <w:rsid w:val="00B54643"/>
    <w:rsid w:val="00BF1139"/>
    <w:rsid w:val="00C00D75"/>
    <w:rsid w:val="00C11993"/>
    <w:rsid w:val="00C22FA4"/>
    <w:rsid w:val="00C97A5D"/>
    <w:rsid w:val="00DC2C22"/>
    <w:rsid w:val="00E3708A"/>
    <w:rsid w:val="00E66A2F"/>
    <w:rsid w:val="00E85EB5"/>
    <w:rsid w:val="00F1743E"/>
    <w:rsid w:val="00F61D78"/>
    <w:rsid w:val="00FB74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709"/>
      </w:tabs>
      <w:suppressAutoHyphens/>
    </w:pPr>
    <w:rPr>
      <w:rFonts w:ascii="Times New Roman" w:eastAsia="Droid Sans" w:hAnsi="Times New Roman" w:cs="FreeSans"/>
      <w:color w:val="00000A"/>
      <w:sz w:val="24"/>
      <w:szCs w:val="24"/>
      <w:lang w:val="en-US" w:eastAsia="zh-CN" w:bidi="hi-IN"/>
    </w:rPr>
  </w:style>
  <w:style w:type="paragraph" w:styleId="Heading1">
    <w:name w:val="heading 1"/>
    <w:basedOn w:val="Heading"/>
    <w:next w:val="Textbody"/>
    <w:pPr>
      <w:numPr>
        <w:numId w:val="1"/>
      </w:numPr>
      <w:jc w:val="center"/>
      <w:outlineLvl w:val="0"/>
    </w:pPr>
    <w:rPr>
      <w:b/>
      <w:bCs/>
      <w:sz w:val="32"/>
      <w:szCs w:val="32"/>
    </w:rPr>
  </w:style>
  <w:style w:type="paragraph" w:styleId="Heading2">
    <w:name w:val="heading 2"/>
    <w:basedOn w:val="Heading"/>
    <w:next w:val="Textbody"/>
    <w:pPr>
      <w:numPr>
        <w:ilvl w:val="1"/>
        <w:numId w:val="1"/>
      </w:numPr>
      <w:outlineLvl w:val="1"/>
    </w:pPr>
    <w:rPr>
      <w:b/>
      <w:bCs/>
      <w:i/>
      <w:iCs/>
    </w:rPr>
  </w:style>
  <w:style w:type="paragraph" w:styleId="Heading3">
    <w:name w:val="heading 3"/>
    <w:basedOn w:val="Heading"/>
    <w:next w:val="Textbody"/>
    <w:pPr>
      <w:numPr>
        <w:ilvl w:val="2"/>
        <w:numId w:val="1"/>
      </w:numPr>
      <w:outlineLvl w:val="2"/>
    </w:pPr>
    <w:rPr>
      <w:b/>
      <w:sz w:val="24"/>
    </w:rPr>
  </w:style>
  <w:style w:type="paragraph" w:styleId="Heading4">
    <w:name w:val="heading 4"/>
    <w:basedOn w:val="Heading"/>
    <w:next w:val="Textbody"/>
    <w:pPr>
      <w:numPr>
        <w:ilvl w:val="3"/>
        <w:numId w:val="1"/>
      </w:numP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InternetLink">
    <w:name w:val="Internet Link"/>
    <w:rPr>
      <w:color w:val="000080"/>
      <w:u w:val="single"/>
      <w:lang w:val="en-GB" w:eastAsia="en-GB" w:bidi="en-GB"/>
    </w:rPr>
  </w:style>
  <w:style w:type="character" w:customStyle="1" w:styleId="Bullets">
    <w:name w:val="Bullets"/>
    <w:rPr>
      <w:rFonts w:ascii="OpenSymbol" w:eastAsia="OpenSymbol" w:hAnsi="OpenSymbol" w:cs="OpenSymbol"/>
    </w:rPr>
  </w:style>
  <w:style w:type="character" w:customStyle="1" w:styleId="ListLabel1">
    <w:name w:val="ListLabel 1"/>
    <w:rPr>
      <w:rFonts w:cs="Symbol"/>
    </w:rPr>
  </w:style>
  <w:style w:type="character" w:customStyle="1" w:styleId="ListLabel2">
    <w:name w:val="ListLabel 2"/>
    <w:rPr>
      <w:rFonts w:cs="OpenSymbol"/>
    </w:rPr>
  </w:style>
  <w:style w:type="character" w:customStyle="1" w:styleId="ListLabel3">
    <w:name w:val="ListLabel 3"/>
    <w:rPr>
      <w:rFonts w:cs="Symbol"/>
    </w:rPr>
  </w:style>
  <w:style w:type="character" w:customStyle="1" w:styleId="ListLabel4">
    <w:name w:val="ListLabel 4"/>
    <w:rPr>
      <w:rFonts w:cs="OpenSymbol"/>
    </w:rPr>
  </w:style>
  <w:style w:type="character" w:customStyle="1" w:styleId="ListLabel5">
    <w:name w:val="ListLabel 5"/>
    <w:rPr>
      <w:rFonts w:cs="Symbol"/>
    </w:rPr>
  </w:style>
  <w:style w:type="character" w:customStyle="1" w:styleId="ListLabel6">
    <w:name w:val="ListLabel 6"/>
    <w:rPr>
      <w:rFonts w:cs="OpenSymbol"/>
    </w:rPr>
  </w:style>
  <w:style w:type="character" w:customStyle="1" w:styleId="FootnoteCharacters">
    <w:name w:val="Footnote Characters"/>
  </w:style>
  <w:style w:type="character" w:customStyle="1" w:styleId="EndnoteCharacters">
    <w:name w:val="Endnote Characters"/>
  </w:style>
  <w:style w:type="paragraph" w:customStyle="1" w:styleId="Heading">
    <w:name w:val="Heading"/>
    <w:basedOn w:val="Normal"/>
    <w:next w:val="Textbody"/>
    <w:pPr>
      <w:keepNext/>
      <w:spacing w:before="240" w:after="120"/>
    </w:pPr>
    <w:rPr>
      <w:rFonts w:ascii="Arial" w:hAnsi="Arial"/>
      <w:sz w:val="28"/>
      <w:szCs w:val="28"/>
    </w:rPr>
  </w:style>
  <w:style w:type="paragraph" w:customStyle="1" w:styleId="Textbody">
    <w:name w:val="Text body"/>
    <w:basedOn w:val="Normal"/>
    <w:pPr>
      <w:spacing w:after="120"/>
      <w:jc w:val="both"/>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Footnote">
    <w:name w:val="Footnote"/>
    <w:basedOn w:val="Normal"/>
    <w:pPr>
      <w:suppressLineNumbers/>
      <w:ind w:left="339" w:hanging="339"/>
    </w:pPr>
    <w:rPr>
      <w:sz w:val="20"/>
      <w:szCs w:val="20"/>
    </w:rPr>
  </w:style>
  <w:style w:type="paragraph" w:customStyle="1" w:styleId="Endnote">
    <w:name w:val="Endnote"/>
    <w:basedOn w:val="Normal"/>
    <w:pPr>
      <w:suppressLineNumbers/>
      <w:ind w:left="339" w:hanging="339"/>
    </w:pPr>
    <w:rPr>
      <w:sz w:val="20"/>
      <w:szCs w:val="20"/>
    </w:rPr>
  </w:style>
  <w:style w:type="paragraph" w:customStyle="1" w:styleId="Figure">
    <w:name w:val="Figure"/>
    <w:basedOn w:val="Caption"/>
  </w:style>
  <w:style w:type="paragraph" w:styleId="Footer">
    <w:name w:val="footer"/>
    <w:basedOn w:val="Normal"/>
    <w:pPr>
      <w:suppressLineNumbers/>
      <w:tabs>
        <w:tab w:val="center" w:pos="4819"/>
        <w:tab w:val="right" w:pos="9638"/>
      </w:tabs>
    </w:pPr>
  </w:style>
  <w:style w:type="paragraph" w:customStyle="1" w:styleId="PreformattedText">
    <w:name w:val="Preformatted Text"/>
    <w:basedOn w:val="Normal"/>
    <w:pPr>
      <w:spacing w:after="0"/>
    </w:pPr>
    <w:rPr>
      <w:rFonts w:ascii="DejaVu Sans Mono" w:eastAsia="DejaVu Sans Mono" w:hAnsi="DejaVu Sans Mono" w:cs="DejaVu Sans Mono"/>
      <w:sz w:val="20"/>
      <w:szCs w:val="20"/>
    </w:rPr>
  </w:style>
  <w:style w:type="paragraph" w:customStyle="1" w:styleId="Table">
    <w:name w:val="Table"/>
    <w:basedOn w:val="Caption"/>
  </w:style>
  <w:style w:type="character" w:styleId="PlaceholderText">
    <w:name w:val="Placeholder Text"/>
    <w:basedOn w:val="DefaultParagraphFont"/>
    <w:uiPriority w:val="99"/>
    <w:semiHidden/>
    <w:rsid w:val="00220911"/>
    <w:rPr>
      <w:color w:val="808080"/>
    </w:rPr>
  </w:style>
  <w:style w:type="paragraph" w:styleId="BalloonText">
    <w:name w:val="Balloon Text"/>
    <w:basedOn w:val="Normal"/>
    <w:link w:val="BalloonTextChar"/>
    <w:uiPriority w:val="99"/>
    <w:semiHidden/>
    <w:unhideWhenUsed/>
    <w:rsid w:val="0022091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20911"/>
    <w:rPr>
      <w:rFonts w:ascii="Tahoma" w:eastAsia="Droid Sans" w:hAnsi="Tahoma" w:cs="Mangal"/>
      <w:color w:val="00000A"/>
      <w:sz w:val="16"/>
      <w:szCs w:val="14"/>
      <w:lang w:val="en-GB" w:eastAsia="zh-CN" w:bidi="hi-IN"/>
    </w:rPr>
  </w:style>
  <w:style w:type="paragraph" w:customStyle="1" w:styleId="NumberedList">
    <w:name w:val="Numbered List"/>
    <w:basedOn w:val="Normal"/>
    <w:rsid w:val="00694E92"/>
    <w:pPr>
      <w:widowControl/>
      <w:numPr>
        <w:numId w:val="10"/>
      </w:numPr>
      <w:tabs>
        <w:tab w:val="clear" w:pos="720"/>
        <w:tab w:val="left" w:pos="560"/>
      </w:tabs>
      <w:suppressAutoHyphens w:val="0"/>
      <w:spacing w:before="60" w:after="0" w:line="220" w:lineRule="exact"/>
      <w:ind w:left="560" w:hanging="390"/>
      <w:jc w:val="both"/>
    </w:pPr>
    <w:rPr>
      <w:rFonts w:eastAsia="Times New Roman" w:cs="Times New Roman"/>
      <w:color w:val="auto"/>
      <w:sz w:val="18"/>
      <w:szCs w:val="20"/>
      <w:lang w:eastAsia="en-US" w:bidi="ar-SA"/>
    </w:rPr>
  </w:style>
  <w:style w:type="paragraph" w:styleId="ListParagraph">
    <w:name w:val="List Paragraph"/>
    <w:basedOn w:val="Normal"/>
    <w:uiPriority w:val="34"/>
    <w:qFormat/>
    <w:rsid w:val="00694E92"/>
    <w:pPr>
      <w:ind w:left="720"/>
      <w:contextualSpacing/>
    </w:pPr>
    <w:rPr>
      <w:rFonts w:cs="Mangal"/>
      <w:szCs w:val="21"/>
    </w:rPr>
  </w:style>
  <w:style w:type="paragraph" w:customStyle="1" w:styleId="Para">
    <w:name w:val="&lt;Para&gt;"/>
    <w:basedOn w:val="Normal"/>
    <w:rsid w:val="00694E92"/>
    <w:pPr>
      <w:widowControl/>
      <w:tabs>
        <w:tab w:val="clear" w:pos="709"/>
      </w:tabs>
      <w:suppressAutoHyphens w:val="0"/>
      <w:spacing w:after="0" w:line="200" w:lineRule="exact"/>
      <w:ind w:firstLine="170"/>
      <w:jc w:val="both"/>
    </w:pPr>
    <w:rPr>
      <w:rFonts w:eastAsia="Times New Roman" w:cs="Times New Roman"/>
      <w:color w:val="auto"/>
      <w:sz w:val="16"/>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709"/>
      </w:tabs>
      <w:suppressAutoHyphens/>
    </w:pPr>
    <w:rPr>
      <w:rFonts w:ascii="Times New Roman" w:eastAsia="Droid Sans" w:hAnsi="Times New Roman" w:cs="FreeSans"/>
      <w:color w:val="00000A"/>
      <w:sz w:val="24"/>
      <w:szCs w:val="24"/>
      <w:lang w:val="en-US" w:eastAsia="zh-CN" w:bidi="hi-IN"/>
    </w:rPr>
  </w:style>
  <w:style w:type="paragraph" w:styleId="Heading1">
    <w:name w:val="heading 1"/>
    <w:basedOn w:val="Heading"/>
    <w:next w:val="Textbody"/>
    <w:pPr>
      <w:numPr>
        <w:numId w:val="1"/>
      </w:numPr>
      <w:jc w:val="center"/>
      <w:outlineLvl w:val="0"/>
    </w:pPr>
    <w:rPr>
      <w:b/>
      <w:bCs/>
      <w:sz w:val="32"/>
      <w:szCs w:val="32"/>
    </w:rPr>
  </w:style>
  <w:style w:type="paragraph" w:styleId="Heading2">
    <w:name w:val="heading 2"/>
    <w:basedOn w:val="Heading"/>
    <w:next w:val="Textbody"/>
    <w:pPr>
      <w:numPr>
        <w:ilvl w:val="1"/>
        <w:numId w:val="1"/>
      </w:numPr>
      <w:outlineLvl w:val="1"/>
    </w:pPr>
    <w:rPr>
      <w:b/>
      <w:bCs/>
      <w:i/>
      <w:iCs/>
    </w:rPr>
  </w:style>
  <w:style w:type="paragraph" w:styleId="Heading3">
    <w:name w:val="heading 3"/>
    <w:basedOn w:val="Heading"/>
    <w:next w:val="Textbody"/>
    <w:pPr>
      <w:numPr>
        <w:ilvl w:val="2"/>
        <w:numId w:val="1"/>
      </w:numPr>
      <w:outlineLvl w:val="2"/>
    </w:pPr>
    <w:rPr>
      <w:b/>
      <w:sz w:val="24"/>
    </w:rPr>
  </w:style>
  <w:style w:type="paragraph" w:styleId="Heading4">
    <w:name w:val="heading 4"/>
    <w:basedOn w:val="Heading"/>
    <w:next w:val="Textbody"/>
    <w:pPr>
      <w:numPr>
        <w:ilvl w:val="3"/>
        <w:numId w:val="1"/>
      </w:numP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InternetLink">
    <w:name w:val="Internet Link"/>
    <w:rPr>
      <w:color w:val="000080"/>
      <w:u w:val="single"/>
      <w:lang w:val="en-GB" w:eastAsia="en-GB" w:bidi="en-GB"/>
    </w:rPr>
  </w:style>
  <w:style w:type="character" w:customStyle="1" w:styleId="Bullets">
    <w:name w:val="Bullets"/>
    <w:rPr>
      <w:rFonts w:ascii="OpenSymbol" w:eastAsia="OpenSymbol" w:hAnsi="OpenSymbol" w:cs="OpenSymbol"/>
    </w:rPr>
  </w:style>
  <w:style w:type="character" w:customStyle="1" w:styleId="ListLabel1">
    <w:name w:val="ListLabel 1"/>
    <w:rPr>
      <w:rFonts w:cs="Symbol"/>
    </w:rPr>
  </w:style>
  <w:style w:type="character" w:customStyle="1" w:styleId="ListLabel2">
    <w:name w:val="ListLabel 2"/>
    <w:rPr>
      <w:rFonts w:cs="OpenSymbol"/>
    </w:rPr>
  </w:style>
  <w:style w:type="character" w:customStyle="1" w:styleId="ListLabel3">
    <w:name w:val="ListLabel 3"/>
    <w:rPr>
      <w:rFonts w:cs="Symbol"/>
    </w:rPr>
  </w:style>
  <w:style w:type="character" w:customStyle="1" w:styleId="ListLabel4">
    <w:name w:val="ListLabel 4"/>
    <w:rPr>
      <w:rFonts w:cs="OpenSymbol"/>
    </w:rPr>
  </w:style>
  <w:style w:type="character" w:customStyle="1" w:styleId="ListLabel5">
    <w:name w:val="ListLabel 5"/>
    <w:rPr>
      <w:rFonts w:cs="Symbol"/>
    </w:rPr>
  </w:style>
  <w:style w:type="character" w:customStyle="1" w:styleId="ListLabel6">
    <w:name w:val="ListLabel 6"/>
    <w:rPr>
      <w:rFonts w:cs="OpenSymbol"/>
    </w:rPr>
  </w:style>
  <w:style w:type="character" w:customStyle="1" w:styleId="FootnoteCharacters">
    <w:name w:val="Footnote Characters"/>
  </w:style>
  <w:style w:type="character" w:customStyle="1" w:styleId="EndnoteCharacters">
    <w:name w:val="Endnote Characters"/>
  </w:style>
  <w:style w:type="paragraph" w:customStyle="1" w:styleId="Heading">
    <w:name w:val="Heading"/>
    <w:basedOn w:val="Normal"/>
    <w:next w:val="Textbody"/>
    <w:pPr>
      <w:keepNext/>
      <w:spacing w:before="240" w:after="120"/>
    </w:pPr>
    <w:rPr>
      <w:rFonts w:ascii="Arial" w:hAnsi="Arial"/>
      <w:sz w:val="28"/>
      <w:szCs w:val="28"/>
    </w:rPr>
  </w:style>
  <w:style w:type="paragraph" w:customStyle="1" w:styleId="Textbody">
    <w:name w:val="Text body"/>
    <w:basedOn w:val="Normal"/>
    <w:pPr>
      <w:spacing w:after="120"/>
      <w:jc w:val="both"/>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Footnote">
    <w:name w:val="Footnote"/>
    <w:basedOn w:val="Normal"/>
    <w:pPr>
      <w:suppressLineNumbers/>
      <w:ind w:left="339" w:hanging="339"/>
    </w:pPr>
    <w:rPr>
      <w:sz w:val="20"/>
      <w:szCs w:val="20"/>
    </w:rPr>
  </w:style>
  <w:style w:type="paragraph" w:customStyle="1" w:styleId="Endnote">
    <w:name w:val="Endnote"/>
    <w:basedOn w:val="Normal"/>
    <w:pPr>
      <w:suppressLineNumbers/>
      <w:ind w:left="339" w:hanging="339"/>
    </w:pPr>
    <w:rPr>
      <w:sz w:val="20"/>
      <w:szCs w:val="20"/>
    </w:rPr>
  </w:style>
  <w:style w:type="paragraph" w:customStyle="1" w:styleId="Figure">
    <w:name w:val="Figure"/>
    <w:basedOn w:val="Caption"/>
  </w:style>
  <w:style w:type="paragraph" w:styleId="Footer">
    <w:name w:val="footer"/>
    <w:basedOn w:val="Normal"/>
    <w:pPr>
      <w:suppressLineNumbers/>
      <w:tabs>
        <w:tab w:val="center" w:pos="4819"/>
        <w:tab w:val="right" w:pos="9638"/>
      </w:tabs>
    </w:pPr>
  </w:style>
  <w:style w:type="paragraph" w:customStyle="1" w:styleId="PreformattedText">
    <w:name w:val="Preformatted Text"/>
    <w:basedOn w:val="Normal"/>
    <w:pPr>
      <w:spacing w:after="0"/>
    </w:pPr>
    <w:rPr>
      <w:rFonts w:ascii="DejaVu Sans Mono" w:eastAsia="DejaVu Sans Mono" w:hAnsi="DejaVu Sans Mono" w:cs="DejaVu Sans Mono"/>
      <w:sz w:val="20"/>
      <w:szCs w:val="20"/>
    </w:rPr>
  </w:style>
  <w:style w:type="paragraph" w:customStyle="1" w:styleId="Table">
    <w:name w:val="Table"/>
    <w:basedOn w:val="Caption"/>
  </w:style>
  <w:style w:type="character" w:styleId="PlaceholderText">
    <w:name w:val="Placeholder Text"/>
    <w:basedOn w:val="DefaultParagraphFont"/>
    <w:uiPriority w:val="99"/>
    <w:semiHidden/>
    <w:rsid w:val="00220911"/>
    <w:rPr>
      <w:color w:val="808080"/>
    </w:rPr>
  </w:style>
  <w:style w:type="paragraph" w:styleId="BalloonText">
    <w:name w:val="Balloon Text"/>
    <w:basedOn w:val="Normal"/>
    <w:link w:val="BalloonTextChar"/>
    <w:uiPriority w:val="99"/>
    <w:semiHidden/>
    <w:unhideWhenUsed/>
    <w:rsid w:val="0022091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20911"/>
    <w:rPr>
      <w:rFonts w:ascii="Tahoma" w:eastAsia="Droid Sans" w:hAnsi="Tahoma" w:cs="Mangal"/>
      <w:color w:val="00000A"/>
      <w:sz w:val="16"/>
      <w:szCs w:val="14"/>
      <w:lang w:val="en-GB" w:eastAsia="zh-CN" w:bidi="hi-IN"/>
    </w:rPr>
  </w:style>
  <w:style w:type="paragraph" w:customStyle="1" w:styleId="NumberedList">
    <w:name w:val="Numbered List"/>
    <w:basedOn w:val="Normal"/>
    <w:rsid w:val="00694E92"/>
    <w:pPr>
      <w:widowControl/>
      <w:numPr>
        <w:numId w:val="10"/>
      </w:numPr>
      <w:tabs>
        <w:tab w:val="clear" w:pos="720"/>
        <w:tab w:val="left" w:pos="560"/>
      </w:tabs>
      <w:suppressAutoHyphens w:val="0"/>
      <w:spacing w:before="60" w:after="0" w:line="220" w:lineRule="exact"/>
      <w:ind w:left="560" w:hanging="390"/>
      <w:jc w:val="both"/>
    </w:pPr>
    <w:rPr>
      <w:rFonts w:eastAsia="Times New Roman" w:cs="Times New Roman"/>
      <w:color w:val="auto"/>
      <w:sz w:val="18"/>
      <w:szCs w:val="20"/>
      <w:lang w:eastAsia="en-US" w:bidi="ar-SA"/>
    </w:rPr>
  </w:style>
  <w:style w:type="paragraph" w:styleId="ListParagraph">
    <w:name w:val="List Paragraph"/>
    <w:basedOn w:val="Normal"/>
    <w:uiPriority w:val="34"/>
    <w:qFormat/>
    <w:rsid w:val="00694E92"/>
    <w:pPr>
      <w:ind w:left="720"/>
      <w:contextualSpacing/>
    </w:pPr>
    <w:rPr>
      <w:rFonts w:cs="Mangal"/>
      <w:szCs w:val="21"/>
    </w:rPr>
  </w:style>
  <w:style w:type="paragraph" w:customStyle="1" w:styleId="Para">
    <w:name w:val="&lt;Para&gt;"/>
    <w:basedOn w:val="Normal"/>
    <w:rsid w:val="00694E92"/>
    <w:pPr>
      <w:widowControl/>
      <w:tabs>
        <w:tab w:val="clear" w:pos="709"/>
      </w:tabs>
      <w:suppressAutoHyphens w:val="0"/>
      <w:spacing w:after="0" w:line="200" w:lineRule="exact"/>
      <w:ind w:firstLine="170"/>
      <w:jc w:val="both"/>
    </w:pPr>
    <w:rPr>
      <w:rFonts w:eastAsia="Times New Roman" w:cs="Times New Roman"/>
      <w:color w:val="auto"/>
      <w:sz w:val="16"/>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611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C5D9B-FB38-4DDD-8077-5227AD7EE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3304</Words>
  <Characters>18836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MPI fuer Mol. Gen.</Company>
  <LinksUpToDate>false</LinksUpToDate>
  <CharactersWithSpaces>22096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Moritz Beber</dc:creator>
  <cp:lastModifiedBy>Christopher Hardt</cp:lastModifiedBy>
  <cp:revision>3</cp:revision>
  <dcterms:created xsi:type="dcterms:W3CDTF">2015-12-21T16:06:00Z</dcterms:created>
  <dcterms:modified xsi:type="dcterms:W3CDTF">2015-12-23T11:54:00Z</dcterms:modified>
</cp:coreProperties>
</file>